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F4333B">
      <w:pPr>
        <w:jc w:val="center"/>
        <w:rPr>
          <w:rFonts w:hint="default" w:ascii="方正小标宋_GBK" w:hAnsi="方正小标宋_GBK" w:eastAsia="方正小标宋_GBK" w:cs="方正小标宋_GBK"/>
          <w:b w:val="0"/>
          <w:bCs w:val="0"/>
          <w:color w:val="auto"/>
          <w:sz w:val="84"/>
          <w:szCs w:val="84"/>
          <w:highlight w:val="none"/>
          <w:lang w:val="en-US" w:eastAsia="zh-CN"/>
        </w:rPr>
      </w:pPr>
      <w:r>
        <w:rPr>
          <w:rFonts w:hint="eastAsia" w:ascii="方正小标宋_GBK" w:hAnsi="方正小标宋_GBK" w:eastAsia="方正小标宋_GBK" w:cs="方正小标宋_GBK"/>
          <w:b w:val="0"/>
          <w:bCs w:val="0"/>
          <w:color w:val="auto"/>
          <w:sz w:val="44"/>
          <w:szCs w:val="44"/>
          <w:highlight w:val="none"/>
          <w:lang w:val="en-US" w:eastAsia="zh-CN"/>
        </w:rPr>
        <w:t xml:space="preserve"> </w:t>
      </w:r>
      <w:bookmarkStart w:id="3" w:name="_GoBack"/>
      <w:bookmarkEnd w:id="3"/>
      <w:r>
        <w:rPr>
          <w:rFonts w:hint="eastAsia" w:ascii="方正小标宋_GBK" w:hAnsi="方正小标宋_GBK" w:eastAsia="方正小标宋_GBK" w:cs="方正小标宋_GBK"/>
          <w:b w:val="0"/>
          <w:bCs w:val="0"/>
          <w:color w:val="auto"/>
          <w:sz w:val="44"/>
          <w:szCs w:val="44"/>
          <w:highlight w:val="none"/>
          <w:lang w:eastAsia="zh-CN"/>
        </w:rPr>
        <w:t>阿依河接待中心舞台频显系统提升工程</w:t>
      </w:r>
    </w:p>
    <w:p w14:paraId="5FE1A0E2">
      <w:pPr>
        <w:jc w:val="center"/>
        <w:rPr>
          <w:rFonts w:hint="eastAsia" w:ascii="方正小标宋_GBK" w:hAnsi="方正小标宋_GBK" w:eastAsia="方正小标宋_GBK" w:cs="方正小标宋_GBK"/>
          <w:b w:val="0"/>
          <w:bCs w:val="0"/>
          <w:color w:val="auto"/>
          <w:sz w:val="84"/>
          <w:szCs w:val="84"/>
          <w:highlight w:val="none"/>
          <w:lang w:val="en-US" w:eastAsia="zh-CN"/>
        </w:rPr>
      </w:pPr>
    </w:p>
    <w:p w14:paraId="6A76B281">
      <w:pPr>
        <w:jc w:val="center"/>
        <w:rPr>
          <w:rFonts w:hint="eastAsia" w:ascii="方正小标宋_GBK" w:hAnsi="方正小标宋_GBK" w:eastAsia="方正小标宋_GBK" w:cs="方正小标宋_GBK"/>
          <w:b w:val="0"/>
          <w:bCs w:val="0"/>
          <w:color w:val="auto"/>
          <w:sz w:val="84"/>
          <w:szCs w:val="84"/>
          <w:highlight w:val="none"/>
          <w:lang w:val="en-US" w:eastAsia="zh-CN"/>
        </w:rPr>
      </w:pPr>
    </w:p>
    <w:p w14:paraId="726C69AD">
      <w:pPr>
        <w:jc w:val="center"/>
        <w:rPr>
          <w:rFonts w:hint="eastAsia" w:ascii="方正小标宋_GBK" w:hAnsi="方正小标宋_GBK" w:eastAsia="方正小标宋_GBK" w:cs="方正小标宋_GBK"/>
          <w:b w:val="0"/>
          <w:bCs w:val="0"/>
          <w:color w:val="auto"/>
          <w:sz w:val="84"/>
          <w:szCs w:val="84"/>
          <w:highlight w:val="none"/>
          <w:lang w:val="en-US" w:eastAsia="zh-CN"/>
        </w:rPr>
      </w:pPr>
    </w:p>
    <w:p w14:paraId="34F475F5">
      <w:pPr>
        <w:jc w:val="center"/>
        <w:rPr>
          <w:rFonts w:hint="eastAsia" w:ascii="方正小标宋_GBK" w:hAnsi="方正小标宋_GBK" w:eastAsia="方正小标宋_GBK" w:cs="方正小标宋_GBK"/>
          <w:b w:val="0"/>
          <w:bCs w:val="0"/>
          <w:color w:val="auto"/>
          <w:sz w:val="84"/>
          <w:szCs w:val="84"/>
          <w:highlight w:val="none"/>
          <w:lang w:val="en-US" w:eastAsia="zh-CN"/>
        </w:rPr>
      </w:pPr>
      <w:r>
        <w:rPr>
          <w:rFonts w:hint="eastAsia" w:ascii="方正小标宋_GBK" w:hAnsi="方正小标宋_GBK" w:eastAsia="方正小标宋_GBK" w:cs="方正小标宋_GBK"/>
          <w:b w:val="0"/>
          <w:bCs w:val="0"/>
          <w:color w:val="auto"/>
          <w:sz w:val="84"/>
          <w:szCs w:val="84"/>
          <w:highlight w:val="none"/>
          <w:lang w:val="en-US" w:eastAsia="zh-CN"/>
        </w:rPr>
        <w:t>比选文件</w:t>
      </w:r>
    </w:p>
    <w:p w14:paraId="66347E77">
      <w:pPr>
        <w:jc w:val="center"/>
        <w:rPr>
          <w:rFonts w:hint="eastAsia" w:ascii="方正小标宋_GBK" w:hAnsi="方正小标宋_GBK" w:eastAsia="方正小标宋_GBK" w:cs="方正小标宋_GBK"/>
          <w:b w:val="0"/>
          <w:bCs w:val="0"/>
          <w:color w:val="auto"/>
          <w:sz w:val="84"/>
          <w:szCs w:val="84"/>
          <w:highlight w:val="none"/>
          <w:lang w:val="en-US" w:eastAsia="zh-CN"/>
        </w:rPr>
      </w:pPr>
    </w:p>
    <w:p w14:paraId="7295CD30">
      <w:pPr>
        <w:jc w:val="center"/>
        <w:rPr>
          <w:rFonts w:hint="eastAsia" w:ascii="方正小标宋_GBK" w:hAnsi="方正小标宋_GBK" w:eastAsia="方正小标宋_GBK" w:cs="方正小标宋_GBK"/>
          <w:b w:val="0"/>
          <w:bCs w:val="0"/>
          <w:color w:val="auto"/>
          <w:sz w:val="84"/>
          <w:szCs w:val="84"/>
          <w:highlight w:val="none"/>
          <w:lang w:val="en-US" w:eastAsia="zh-CN"/>
        </w:rPr>
      </w:pPr>
    </w:p>
    <w:p w14:paraId="33CCEE51">
      <w:pPr>
        <w:jc w:val="both"/>
        <w:rPr>
          <w:rFonts w:hint="eastAsia" w:ascii="方正小标宋_GBK" w:hAnsi="方正小标宋_GBK" w:eastAsia="方正小标宋_GBK" w:cs="方正小标宋_GBK"/>
          <w:b w:val="0"/>
          <w:bCs w:val="0"/>
          <w:color w:val="auto"/>
          <w:sz w:val="84"/>
          <w:szCs w:val="84"/>
          <w:highlight w:val="none"/>
          <w:lang w:val="en-US" w:eastAsia="zh-CN"/>
        </w:rPr>
      </w:pPr>
    </w:p>
    <w:p w14:paraId="384B904E">
      <w:pPr>
        <w:rPr>
          <w:rFonts w:hint="eastAsia" w:ascii="方正小标宋_GBK" w:hAnsi="方正小标宋_GBK" w:eastAsia="方正小标宋_GBK" w:cs="方正小标宋_GBK"/>
          <w:b w:val="0"/>
          <w:bCs w:val="0"/>
          <w:color w:val="auto"/>
          <w:sz w:val="36"/>
          <w:szCs w:val="36"/>
          <w:highlight w:val="none"/>
          <w:lang w:val="en-US" w:eastAsia="zh-CN"/>
        </w:rPr>
      </w:pPr>
    </w:p>
    <w:p w14:paraId="41CECA9B">
      <w:pPr>
        <w:rPr>
          <w:rFonts w:hint="eastAsia" w:ascii="方正小标宋_GBK" w:hAnsi="方正小标宋_GBK" w:eastAsia="方正小标宋_GBK" w:cs="方正小标宋_GBK"/>
          <w:b w:val="0"/>
          <w:bCs w:val="0"/>
          <w:color w:val="auto"/>
          <w:sz w:val="36"/>
          <w:szCs w:val="36"/>
          <w:highlight w:val="none"/>
          <w:lang w:val="en-US" w:eastAsia="zh-CN"/>
        </w:rPr>
      </w:pPr>
      <w:r>
        <w:rPr>
          <w:rFonts w:hint="eastAsia" w:ascii="方正小标宋_GBK" w:hAnsi="方正小标宋_GBK" w:eastAsia="方正小标宋_GBK" w:cs="方正小标宋_GBK"/>
          <w:b w:val="0"/>
          <w:bCs w:val="0"/>
          <w:color w:val="auto"/>
          <w:sz w:val="36"/>
          <w:szCs w:val="36"/>
          <w:highlight w:val="none"/>
          <w:lang w:val="en-US" w:eastAsia="zh-CN"/>
        </w:rPr>
        <w:t>比选人：重庆乌江画廊旅游开发有限公司阿依河分公司</w:t>
      </w:r>
    </w:p>
    <w:p w14:paraId="2B1099FA">
      <w:pPr>
        <w:jc w:val="center"/>
        <w:rPr>
          <w:rFonts w:hint="eastAsia" w:ascii="方正小标宋_GBK" w:hAnsi="方正小标宋_GBK" w:eastAsia="方正小标宋_GBK" w:cs="方正小标宋_GBK"/>
          <w:b w:val="0"/>
          <w:bCs w:val="0"/>
          <w:color w:val="auto"/>
          <w:sz w:val="36"/>
          <w:szCs w:val="36"/>
          <w:highlight w:val="none"/>
          <w:lang w:val="en-US" w:eastAsia="zh-CN"/>
        </w:rPr>
      </w:pPr>
      <w:r>
        <w:rPr>
          <w:rFonts w:hint="eastAsia" w:ascii="方正小标宋_GBK" w:hAnsi="方正小标宋_GBK" w:eastAsia="方正小标宋_GBK" w:cs="方正小标宋_GBK"/>
          <w:b w:val="0"/>
          <w:bCs w:val="0"/>
          <w:color w:val="auto"/>
          <w:sz w:val="36"/>
          <w:szCs w:val="36"/>
          <w:highlight w:val="none"/>
          <w:lang w:val="en-US" w:eastAsia="zh-CN"/>
        </w:rPr>
        <w:t>2026年7月</w:t>
      </w:r>
    </w:p>
    <w:p w14:paraId="1663D0A5">
      <w:pPr>
        <w:rPr>
          <w:rFonts w:hint="eastAsia" w:ascii="方正小标宋_GBK" w:hAnsi="方正小标宋_GBK" w:eastAsia="方正小标宋_GBK" w:cs="方正小标宋_GBK"/>
          <w:b w:val="0"/>
          <w:bCs w:val="0"/>
          <w:color w:val="auto"/>
          <w:sz w:val="36"/>
          <w:szCs w:val="36"/>
          <w:highlight w:val="none"/>
          <w:lang w:val="en-US" w:eastAsia="zh-CN"/>
        </w:rPr>
      </w:pPr>
    </w:p>
    <w:p w14:paraId="4178F1C6">
      <w:pPr>
        <w:rPr>
          <w:rFonts w:hint="default" w:ascii="Times New Roman" w:hAnsi="Times New Roman" w:eastAsia="方正仿宋_GBK" w:cs="Times New Roman"/>
          <w:b w:val="0"/>
          <w:bCs w:val="0"/>
          <w:color w:val="auto"/>
          <w:sz w:val="32"/>
          <w:szCs w:val="32"/>
          <w:highlight w:val="none"/>
          <w:lang w:val="en-US" w:eastAsia="zh-CN"/>
        </w:rPr>
      </w:pPr>
    </w:p>
    <w:p w14:paraId="78663D8A">
      <w:pPr>
        <w:pStyle w:val="3"/>
        <w:rPr>
          <w:rFonts w:hint="default" w:ascii="Times New Roman" w:hAnsi="Times New Roman" w:eastAsia="方正仿宋_GBK" w:cs="Times New Roman"/>
          <w:b w:val="0"/>
          <w:bCs w:val="0"/>
          <w:color w:val="auto"/>
          <w:sz w:val="32"/>
          <w:szCs w:val="32"/>
          <w:highlight w:val="none"/>
          <w:lang w:val="en-US" w:eastAsia="zh-CN"/>
        </w:rPr>
      </w:pPr>
    </w:p>
    <w:p w14:paraId="3AEE02A9">
      <w:pPr>
        <w:rPr>
          <w:rFonts w:hint="default"/>
          <w:color w:val="auto"/>
          <w:highlight w:val="none"/>
          <w:lang w:val="en-US" w:eastAsia="zh-CN"/>
        </w:rPr>
      </w:pPr>
    </w:p>
    <w:p w14:paraId="25BA8720">
      <w:pPr>
        <w:jc w:val="center"/>
        <w:rPr>
          <w:rFonts w:hint="eastAsia" w:ascii="方正黑体_GBK" w:hAnsi="Times New Roman" w:eastAsia="方正黑体_GBK" w:cs="Times New Roman"/>
          <w:color w:val="auto"/>
          <w:sz w:val="32"/>
          <w:szCs w:val="20"/>
          <w:highlight w:val="none"/>
          <w:lang w:eastAsia="zh-CN"/>
        </w:rPr>
      </w:pPr>
      <w:r>
        <w:rPr>
          <w:rFonts w:hint="eastAsia" w:ascii="方正黑体_GBK" w:hAnsi="Times New Roman" w:eastAsia="方正黑体_GBK" w:cs="Times New Roman"/>
          <w:color w:val="auto"/>
          <w:sz w:val="32"/>
          <w:szCs w:val="20"/>
          <w:highlight w:val="none"/>
        </w:rPr>
        <w:t xml:space="preserve">第一部分  </w:t>
      </w:r>
      <w:r>
        <w:rPr>
          <w:rFonts w:hint="eastAsia" w:ascii="方正黑体_GBK" w:eastAsia="方正黑体_GBK" w:cs="Times New Roman"/>
          <w:color w:val="auto"/>
          <w:sz w:val="32"/>
          <w:szCs w:val="20"/>
          <w:highlight w:val="none"/>
          <w:lang w:val="en-US" w:eastAsia="zh-CN"/>
        </w:rPr>
        <w:t>比选</w:t>
      </w:r>
      <w:r>
        <w:rPr>
          <w:rFonts w:hint="eastAsia" w:ascii="方正黑体_GBK" w:hAnsi="Times New Roman" w:eastAsia="方正黑体_GBK" w:cs="Times New Roman"/>
          <w:color w:val="auto"/>
          <w:sz w:val="32"/>
          <w:szCs w:val="20"/>
          <w:highlight w:val="none"/>
          <w:lang w:eastAsia="zh-CN"/>
        </w:rPr>
        <w:t>公告</w:t>
      </w:r>
    </w:p>
    <w:p w14:paraId="352A1C2A">
      <w:pPr>
        <w:rPr>
          <w:rFonts w:hint="default" w:ascii="Times New Roman" w:hAnsi="Times New Roman" w:eastAsia="方正仿宋_GBK" w:cs="Times New Roman"/>
          <w:b w:val="0"/>
          <w:bCs w:val="0"/>
          <w:color w:val="auto"/>
          <w:sz w:val="28"/>
          <w:szCs w:val="28"/>
          <w:highlight w:val="none"/>
          <w:lang w:val="en-US" w:eastAsia="zh-CN"/>
        </w:rPr>
      </w:pPr>
    </w:p>
    <w:p w14:paraId="13DBC83D">
      <w:pPr>
        <w:rPr>
          <w:rFonts w:hint="default" w:ascii="Times New Roman" w:hAnsi="Times New Roman" w:eastAsia="方正仿宋_GBK" w:cs="Times New Roman"/>
          <w:b w:val="0"/>
          <w:bCs w:val="0"/>
          <w:color w:val="auto"/>
          <w:sz w:val="28"/>
          <w:szCs w:val="28"/>
          <w:highlight w:val="none"/>
          <w:lang w:val="en-US" w:eastAsia="zh-CN"/>
        </w:rPr>
      </w:pPr>
      <w:r>
        <w:rPr>
          <w:rFonts w:hint="default" w:ascii="Times New Roman" w:hAnsi="Times New Roman" w:eastAsia="方正仿宋_GBK" w:cs="Times New Roman"/>
          <w:b w:val="0"/>
          <w:bCs w:val="0"/>
          <w:color w:val="auto"/>
          <w:sz w:val="28"/>
          <w:szCs w:val="28"/>
          <w:highlight w:val="none"/>
          <w:lang w:val="en-US" w:eastAsia="zh-CN"/>
        </w:rPr>
        <w:t>各参选人：</w:t>
      </w:r>
    </w:p>
    <w:p w14:paraId="4702B3AE">
      <w:pPr>
        <w:ind w:firstLine="560" w:firstLineChars="200"/>
        <w:rPr>
          <w:rFonts w:hint="default" w:ascii="Times New Roman" w:hAnsi="Times New Roman" w:eastAsia="方正仿宋_GBK" w:cs="Times New Roman"/>
          <w:b w:val="0"/>
          <w:bCs w:val="0"/>
          <w:color w:val="auto"/>
          <w:sz w:val="28"/>
          <w:szCs w:val="28"/>
          <w:highlight w:val="none"/>
        </w:rPr>
      </w:pPr>
      <w:r>
        <w:rPr>
          <w:rFonts w:hint="default" w:ascii="Times New Roman" w:hAnsi="Times New Roman" w:eastAsia="方正仿宋_GBK" w:cs="Times New Roman"/>
          <w:b w:val="0"/>
          <w:bCs w:val="0"/>
          <w:color w:val="auto"/>
          <w:sz w:val="28"/>
          <w:szCs w:val="28"/>
          <w:highlight w:val="none"/>
          <w:lang w:val="en-US" w:eastAsia="zh-CN"/>
        </w:rPr>
        <w:t>我</w:t>
      </w:r>
      <w:r>
        <w:rPr>
          <w:rFonts w:hint="eastAsia" w:ascii="Times New Roman" w:hAnsi="Times New Roman" w:eastAsia="方正仿宋_GBK" w:cs="Times New Roman"/>
          <w:b w:val="0"/>
          <w:bCs w:val="0"/>
          <w:color w:val="auto"/>
          <w:sz w:val="28"/>
          <w:szCs w:val="28"/>
          <w:highlight w:val="none"/>
          <w:lang w:val="en-US" w:eastAsia="zh-CN"/>
        </w:rPr>
        <w:t>司</w:t>
      </w:r>
      <w:r>
        <w:rPr>
          <w:rFonts w:hint="default" w:ascii="Times New Roman" w:hAnsi="Times New Roman" w:eastAsia="方正仿宋_GBK" w:cs="Times New Roman"/>
          <w:b w:val="0"/>
          <w:bCs w:val="0"/>
          <w:color w:val="auto"/>
          <w:sz w:val="28"/>
          <w:szCs w:val="28"/>
          <w:highlight w:val="none"/>
          <w:lang w:val="en-US" w:eastAsia="zh-CN"/>
        </w:rPr>
        <w:t>拟对</w:t>
      </w:r>
      <w:r>
        <w:rPr>
          <w:rFonts w:hint="eastAsia" w:ascii="Times New Roman" w:hAnsi="Times New Roman" w:eastAsia="方正仿宋_GBK" w:cs="Times New Roman"/>
          <w:b w:val="0"/>
          <w:bCs w:val="0"/>
          <w:color w:val="auto"/>
          <w:sz w:val="28"/>
          <w:szCs w:val="28"/>
          <w:highlight w:val="none"/>
          <w:lang w:val="en-US" w:eastAsia="zh-CN"/>
        </w:rPr>
        <w:t>阿依河接待中心舞台频显系统提升工程</w:t>
      </w:r>
      <w:r>
        <w:rPr>
          <w:rFonts w:hint="default" w:ascii="Times New Roman" w:hAnsi="Times New Roman" w:eastAsia="方正仿宋_GBK" w:cs="Times New Roman"/>
          <w:color w:val="auto"/>
          <w:sz w:val="28"/>
          <w:szCs w:val="28"/>
          <w:highlight w:val="none"/>
          <w:lang w:val="en-US" w:eastAsia="zh-CN"/>
        </w:rPr>
        <w:t>进</w:t>
      </w:r>
      <w:r>
        <w:rPr>
          <w:rFonts w:hint="default" w:ascii="Times New Roman" w:hAnsi="Times New Roman" w:eastAsia="方正仿宋_GBK" w:cs="Times New Roman"/>
          <w:b w:val="0"/>
          <w:bCs w:val="0"/>
          <w:color w:val="auto"/>
          <w:sz w:val="28"/>
          <w:szCs w:val="28"/>
          <w:highlight w:val="none"/>
          <w:lang w:val="en-US" w:eastAsia="zh-CN"/>
        </w:rPr>
        <w:t>行</w:t>
      </w:r>
      <w:r>
        <w:rPr>
          <w:rFonts w:hint="eastAsia" w:ascii="Times New Roman" w:hAnsi="Times New Roman" w:eastAsia="方正仿宋_GBK" w:cs="Times New Roman"/>
          <w:color w:val="auto"/>
          <w:sz w:val="28"/>
          <w:szCs w:val="28"/>
          <w:highlight w:val="none"/>
          <w:lang w:val="en-US" w:eastAsia="zh-CN"/>
        </w:rPr>
        <w:t>比选</w:t>
      </w:r>
      <w:r>
        <w:rPr>
          <w:rFonts w:hint="default" w:ascii="Times New Roman" w:hAnsi="Times New Roman" w:eastAsia="方正仿宋_GBK" w:cs="Times New Roman"/>
          <w:b w:val="0"/>
          <w:bCs w:val="0"/>
          <w:color w:val="auto"/>
          <w:sz w:val="28"/>
          <w:szCs w:val="28"/>
          <w:highlight w:val="none"/>
          <w:lang w:val="en-US" w:eastAsia="zh-CN"/>
        </w:rPr>
        <w:t>，</w:t>
      </w:r>
      <w:r>
        <w:rPr>
          <w:rFonts w:hint="eastAsia" w:ascii="Times New Roman" w:hAnsi="Times New Roman" w:eastAsia="方正仿宋_GBK" w:cs="Times New Roman"/>
          <w:color w:val="auto"/>
          <w:sz w:val="28"/>
          <w:szCs w:val="28"/>
          <w:highlight w:val="none"/>
          <w:lang w:val="en-US" w:eastAsia="zh-CN"/>
        </w:rPr>
        <w:t>比选</w:t>
      </w:r>
      <w:r>
        <w:rPr>
          <w:rFonts w:hint="default" w:ascii="Times New Roman" w:hAnsi="Times New Roman" w:eastAsia="方正仿宋_GBK" w:cs="Times New Roman"/>
          <w:b w:val="0"/>
          <w:bCs w:val="0"/>
          <w:color w:val="auto"/>
          <w:sz w:val="28"/>
          <w:szCs w:val="28"/>
          <w:highlight w:val="none"/>
        </w:rPr>
        <w:t>内容及相关要求如下：</w:t>
      </w:r>
    </w:p>
    <w:p w14:paraId="2EF4733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黑体_GBK" w:cs="Times New Roman"/>
          <w:color w:val="auto"/>
          <w:sz w:val="28"/>
          <w:szCs w:val="28"/>
          <w:highlight w:val="none"/>
          <w:lang w:val="en-US" w:eastAsia="zh-CN"/>
        </w:rPr>
        <w:t>一、基本情况</w:t>
      </w:r>
    </w:p>
    <w:p w14:paraId="591BC1A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1.</w:t>
      </w:r>
      <w:r>
        <w:rPr>
          <w:rFonts w:hint="default" w:ascii="Times New Roman" w:hAnsi="Times New Roman" w:eastAsia="方正仿宋_GBK" w:cs="Times New Roman"/>
          <w:color w:val="auto"/>
          <w:sz w:val="28"/>
          <w:szCs w:val="28"/>
          <w:highlight w:val="none"/>
        </w:rPr>
        <w:t>业主单位：重庆</w:t>
      </w:r>
      <w:r>
        <w:rPr>
          <w:rFonts w:hint="default" w:ascii="Times New Roman" w:hAnsi="Times New Roman" w:eastAsia="方正仿宋_GBK" w:cs="Times New Roman"/>
          <w:color w:val="auto"/>
          <w:sz w:val="28"/>
          <w:szCs w:val="28"/>
          <w:highlight w:val="none"/>
          <w:lang w:val="en-US" w:eastAsia="zh-CN"/>
        </w:rPr>
        <w:t>乌江画廊旅游开发</w:t>
      </w:r>
      <w:r>
        <w:rPr>
          <w:rFonts w:hint="default" w:ascii="Times New Roman" w:hAnsi="Times New Roman" w:eastAsia="方正仿宋_GBK" w:cs="Times New Roman"/>
          <w:color w:val="auto"/>
          <w:sz w:val="28"/>
          <w:szCs w:val="28"/>
          <w:highlight w:val="none"/>
        </w:rPr>
        <w:t>有限公司</w:t>
      </w:r>
      <w:r>
        <w:rPr>
          <w:rFonts w:hint="default" w:ascii="Times New Roman" w:hAnsi="Times New Roman" w:eastAsia="方正仿宋_GBK" w:cs="Times New Roman"/>
          <w:color w:val="auto"/>
          <w:sz w:val="28"/>
          <w:szCs w:val="28"/>
          <w:highlight w:val="none"/>
          <w:lang w:val="en-US" w:eastAsia="zh-CN"/>
        </w:rPr>
        <w:t>阿依河分公司</w:t>
      </w:r>
    </w:p>
    <w:p w14:paraId="178D4CD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rPr>
      </w:pPr>
      <w:r>
        <w:rPr>
          <w:rFonts w:hint="default" w:ascii="Times New Roman" w:hAnsi="Times New Roman" w:eastAsia="方正仿宋_GBK" w:cs="Times New Roman"/>
          <w:color w:val="auto"/>
          <w:sz w:val="28"/>
          <w:szCs w:val="28"/>
          <w:highlight w:val="none"/>
          <w:lang w:val="en-US" w:eastAsia="zh-CN"/>
        </w:rPr>
        <w:t>2.</w:t>
      </w:r>
      <w:r>
        <w:rPr>
          <w:rFonts w:hint="default" w:ascii="Times New Roman" w:hAnsi="Times New Roman" w:eastAsia="方正仿宋_GBK" w:cs="Times New Roman"/>
          <w:color w:val="auto"/>
          <w:sz w:val="28"/>
          <w:szCs w:val="28"/>
          <w:highlight w:val="none"/>
        </w:rPr>
        <w:t>项目名称：</w:t>
      </w:r>
      <w:r>
        <w:rPr>
          <w:rFonts w:hint="eastAsia" w:ascii="Times New Roman" w:hAnsi="Times New Roman" w:eastAsia="方正仿宋_GBK" w:cs="Times New Roman"/>
          <w:b w:val="0"/>
          <w:bCs w:val="0"/>
          <w:color w:val="auto"/>
          <w:sz w:val="28"/>
          <w:szCs w:val="28"/>
          <w:highlight w:val="none"/>
          <w:lang w:val="en-US" w:eastAsia="zh-CN"/>
        </w:rPr>
        <w:t>阿依河接待中心舞台频显系统提升工程</w:t>
      </w:r>
    </w:p>
    <w:p w14:paraId="34CAE0E8">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b w:val="0"/>
          <w:bCs w:val="0"/>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3.</w:t>
      </w:r>
      <w:r>
        <w:rPr>
          <w:rFonts w:hint="default" w:ascii="Times New Roman" w:hAnsi="Times New Roman" w:eastAsia="方正仿宋_GBK" w:cs="Times New Roman"/>
          <w:color w:val="auto"/>
          <w:sz w:val="28"/>
          <w:szCs w:val="28"/>
          <w:highlight w:val="none"/>
        </w:rPr>
        <w:t>项目</w:t>
      </w:r>
      <w:r>
        <w:rPr>
          <w:rFonts w:hint="default" w:ascii="方正仿宋_GBK" w:hAnsi="方正仿宋_GBK" w:eastAsia="方正仿宋_GBK" w:cs="方正仿宋_GBK"/>
          <w:color w:val="auto"/>
          <w:sz w:val="28"/>
          <w:szCs w:val="28"/>
          <w:highlight w:val="none"/>
        </w:rPr>
        <w:t>规模：</w:t>
      </w:r>
      <w:r>
        <w:rPr>
          <w:rFonts w:hint="eastAsia" w:ascii="方正仿宋_GBK" w:hAnsi="方正仿宋_GBK" w:eastAsia="方正仿宋_GBK" w:cs="方正仿宋_GBK"/>
          <w:color w:val="auto"/>
          <w:sz w:val="28"/>
          <w:szCs w:val="28"/>
          <w:highlight w:val="none"/>
          <w:lang w:eastAsia="zh-CN"/>
        </w:rPr>
        <w:t>原老化</w:t>
      </w:r>
      <w:r>
        <w:rPr>
          <w:rFonts w:hint="eastAsia" w:ascii="方正仿宋_GBK" w:hAnsi="方正仿宋_GBK" w:eastAsia="方正仿宋_GBK" w:cs="方正仿宋_GBK"/>
          <w:color w:val="auto"/>
          <w:sz w:val="28"/>
          <w:szCs w:val="28"/>
          <w:highlight w:val="none"/>
          <w:lang w:val="en-US" w:eastAsia="zh-CN"/>
        </w:rPr>
        <w:t>屏</w:t>
      </w:r>
      <w:r>
        <w:rPr>
          <w:rFonts w:hint="eastAsia" w:ascii="方正仿宋_GBK" w:hAnsi="方正仿宋_GBK" w:eastAsia="方正仿宋_GBK" w:cs="方正仿宋_GBK"/>
          <w:color w:val="auto"/>
          <w:sz w:val="28"/>
          <w:szCs w:val="28"/>
          <w:highlight w:val="none"/>
          <w:lang w:eastAsia="zh-CN"/>
        </w:rPr>
        <w:t>的拆除，主</w:t>
      </w:r>
      <w:r>
        <w:rPr>
          <w:rFonts w:hint="eastAsia" w:ascii="方正仿宋_GBK" w:hAnsi="方正仿宋_GBK" w:eastAsia="方正仿宋_GBK" w:cs="方正仿宋_GBK"/>
          <w:color w:val="auto"/>
          <w:sz w:val="28"/>
          <w:szCs w:val="28"/>
          <w:highlight w:val="none"/>
          <w:lang w:val="en-US" w:eastAsia="zh-CN"/>
        </w:rPr>
        <w:t>屏</w:t>
      </w:r>
      <w:r>
        <w:rPr>
          <w:rFonts w:hint="eastAsia" w:ascii="方正仿宋_GBK" w:hAnsi="方正仿宋_GBK" w:eastAsia="方正仿宋_GBK" w:cs="方正仿宋_GBK"/>
          <w:color w:val="auto"/>
          <w:sz w:val="28"/>
          <w:szCs w:val="28"/>
          <w:highlight w:val="none"/>
          <w:lang w:eastAsia="zh-CN"/>
        </w:rPr>
        <w:t>、耳</w:t>
      </w:r>
      <w:r>
        <w:rPr>
          <w:rFonts w:hint="eastAsia" w:ascii="方正仿宋_GBK" w:hAnsi="方正仿宋_GBK" w:eastAsia="方正仿宋_GBK" w:cs="方正仿宋_GBK"/>
          <w:color w:val="auto"/>
          <w:sz w:val="28"/>
          <w:szCs w:val="28"/>
          <w:highlight w:val="none"/>
          <w:lang w:val="en-US" w:eastAsia="zh-CN"/>
        </w:rPr>
        <w:t>屏</w:t>
      </w:r>
      <w:r>
        <w:rPr>
          <w:rFonts w:hint="eastAsia" w:ascii="方正仿宋_GBK" w:hAnsi="方正仿宋_GBK" w:eastAsia="方正仿宋_GBK" w:cs="方正仿宋_GBK"/>
          <w:color w:val="auto"/>
          <w:sz w:val="28"/>
          <w:szCs w:val="28"/>
          <w:highlight w:val="none"/>
          <w:lang w:eastAsia="zh-CN"/>
        </w:rPr>
        <w:t>、底</w:t>
      </w:r>
      <w:r>
        <w:rPr>
          <w:rFonts w:hint="eastAsia" w:ascii="方正仿宋_GBK" w:hAnsi="方正仿宋_GBK" w:eastAsia="方正仿宋_GBK" w:cs="方正仿宋_GBK"/>
          <w:color w:val="auto"/>
          <w:sz w:val="28"/>
          <w:szCs w:val="28"/>
          <w:highlight w:val="none"/>
          <w:lang w:val="en-US" w:eastAsia="zh-CN"/>
        </w:rPr>
        <w:t>屏</w:t>
      </w:r>
      <w:r>
        <w:rPr>
          <w:rFonts w:hint="eastAsia" w:ascii="方正仿宋_GBK" w:hAnsi="方正仿宋_GBK" w:eastAsia="方正仿宋_GBK" w:cs="方正仿宋_GBK"/>
          <w:color w:val="auto"/>
          <w:sz w:val="28"/>
          <w:szCs w:val="28"/>
          <w:highlight w:val="none"/>
          <w:lang w:eastAsia="zh-CN"/>
        </w:rPr>
        <w:t>采购及安装、</w:t>
      </w:r>
      <w:r>
        <w:rPr>
          <w:rFonts w:hint="eastAsia" w:ascii="方正仿宋_GBK" w:hAnsi="方正仿宋_GBK" w:eastAsia="方正仿宋_GBK" w:cs="方正仿宋_GBK"/>
          <w:sz w:val="32"/>
          <w:szCs w:val="32"/>
          <w:lang w:val="en-US" w:eastAsia="zh-CN"/>
        </w:rPr>
        <w:t>配套系统调试</w:t>
      </w:r>
      <w:r>
        <w:rPr>
          <w:rFonts w:hint="eastAsia" w:ascii="方正仿宋_GBK" w:hAnsi="方正仿宋_GBK" w:eastAsia="方正仿宋_GBK" w:cs="方正仿宋_GBK"/>
          <w:color w:val="auto"/>
          <w:sz w:val="28"/>
          <w:szCs w:val="28"/>
          <w:highlight w:val="none"/>
          <w:lang w:eastAsia="zh-CN"/>
        </w:rPr>
        <w:t>等</w:t>
      </w:r>
      <w:r>
        <w:rPr>
          <w:rFonts w:hint="eastAsia" w:ascii="方正仿宋_GBK" w:hAnsi="方正仿宋_GBK" w:eastAsia="方正仿宋_GBK" w:cs="方正仿宋_GBK"/>
          <w:color w:val="auto"/>
          <w:sz w:val="28"/>
          <w:szCs w:val="28"/>
          <w:highlight w:val="none"/>
          <w:lang w:val="en-US" w:eastAsia="zh-CN"/>
        </w:rPr>
        <w:t>，</w:t>
      </w:r>
      <w:r>
        <w:rPr>
          <w:rFonts w:hint="eastAsia" w:ascii="方正仿宋_GBK" w:hAnsi="方正仿宋_GBK" w:eastAsia="方正仿宋_GBK" w:cs="方正仿宋_GBK"/>
          <w:color w:val="auto"/>
          <w:sz w:val="28"/>
          <w:szCs w:val="28"/>
          <w:highlight w:val="none"/>
        </w:rPr>
        <w:t>具体实施内容以</w:t>
      </w:r>
      <w:r>
        <w:rPr>
          <w:rFonts w:hint="eastAsia" w:ascii="方正仿宋_GBK" w:hAnsi="方正仿宋_GBK" w:eastAsia="方正仿宋_GBK" w:cs="方正仿宋_GBK"/>
          <w:color w:val="auto"/>
          <w:sz w:val="28"/>
          <w:szCs w:val="28"/>
          <w:highlight w:val="none"/>
          <w:lang w:val="en-US" w:eastAsia="zh-CN"/>
        </w:rPr>
        <w:t>比选人</w:t>
      </w:r>
      <w:r>
        <w:rPr>
          <w:rFonts w:hint="eastAsia" w:ascii="方正仿宋_GBK" w:hAnsi="方正仿宋_GBK" w:eastAsia="方正仿宋_GBK" w:cs="方正仿宋_GBK"/>
          <w:color w:val="auto"/>
          <w:sz w:val="28"/>
          <w:szCs w:val="28"/>
          <w:highlight w:val="none"/>
        </w:rPr>
        <w:t>指定为准。</w:t>
      </w:r>
    </w:p>
    <w:p w14:paraId="7D5F88F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val="en-US" w:eastAsia="zh-CN"/>
        </w:rPr>
        <w:t>4.</w:t>
      </w:r>
      <w:r>
        <w:rPr>
          <w:rFonts w:hint="default" w:ascii="Times New Roman" w:hAnsi="Times New Roman" w:eastAsia="方正仿宋_GBK" w:cs="Times New Roman"/>
          <w:color w:val="auto"/>
          <w:sz w:val="28"/>
          <w:szCs w:val="28"/>
          <w:highlight w:val="none"/>
        </w:rPr>
        <w:t>项目地点：</w:t>
      </w:r>
      <w:r>
        <w:rPr>
          <w:rFonts w:hint="default" w:ascii="Times New Roman" w:hAnsi="Times New Roman" w:eastAsia="方正仿宋_GBK" w:cs="Times New Roman"/>
          <w:color w:val="auto"/>
          <w:sz w:val="28"/>
          <w:szCs w:val="28"/>
          <w:highlight w:val="none"/>
          <w:lang w:val="en-US" w:eastAsia="zh-CN"/>
        </w:rPr>
        <w:t>重庆市彭水县阿依河景区</w:t>
      </w:r>
      <w:r>
        <w:rPr>
          <w:rFonts w:hint="default" w:ascii="Times New Roman" w:hAnsi="Times New Roman" w:eastAsia="方正仿宋_GBK" w:cs="Times New Roman"/>
          <w:color w:val="auto"/>
          <w:sz w:val="28"/>
          <w:szCs w:val="28"/>
          <w:highlight w:val="none"/>
        </w:rPr>
        <w:t>。</w:t>
      </w:r>
    </w:p>
    <w:p w14:paraId="5FD524C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val="en-US" w:eastAsia="zh-CN"/>
        </w:rPr>
        <w:t>5.</w:t>
      </w:r>
      <w:r>
        <w:rPr>
          <w:rFonts w:hint="default" w:ascii="Times New Roman" w:hAnsi="Times New Roman" w:eastAsia="方正仿宋_GBK" w:cs="Times New Roman"/>
          <w:color w:val="auto"/>
          <w:sz w:val="28"/>
          <w:szCs w:val="28"/>
          <w:highlight w:val="none"/>
        </w:rPr>
        <w:t>比选方式：</w:t>
      </w:r>
      <w:r>
        <w:rPr>
          <w:rFonts w:hint="eastAsia" w:ascii="Times New Roman" w:hAnsi="Times New Roman" w:eastAsia="方正仿宋_GBK" w:cs="Times New Roman"/>
          <w:color w:val="auto"/>
          <w:sz w:val="28"/>
          <w:szCs w:val="28"/>
          <w:highlight w:val="none"/>
          <w:lang w:val="en-US" w:eastAsia="zh-CN"/>
        </w:rPr>
        <w:t>竞争性比选</w:t>
      </w:r>
      <w:r>
        <w:rPr>
          <w:rFonts w:hint="default" w:ascii="Times New Roman" w:hAnsi="Times New Roman" w:eastAsia="方正仿宋_GBK" w:cs="Times New Roman"/>
          <w:color w:val="auto"/>
          <w:sz w:val="28"/>
          <w:szCs w:val="28"/>
          <w:highlight w:val="none"/>
          <w:lang w:val="en-US" w:eastAsia="zh-CN"/>
        </w:rPr>
        <w:t>。</w:t>
      </w:r>
    </w:p>
    <w:p w14:paraId="3AA4D648">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6.工期要求：</w:t>
      </w:r>
      <w:r>
        <w:rPr>
          <w:rFonts w:hint="default" w:ascii="Times New Roman" w:hAnsi="Times New Roman" w:eastAsia="方正仿宋_GBK" w:cs="Times New Roman"/>
          <w:color w:val="auto"/>
          <w:sz w:val="28"/>
          <w:szCs w:val="28"/>
          <w:highlight w:val="none"/>
        </w:rPr>
        <w:t>自签订合同之日</w:t>
      </w:r>
      <w:r>
        <w:rPr>
          <w:rFonts w:hint="default" w:ascii="Times New Roman" w:hAnsi="Times New Roman" w:eastAsia="方正仿宋_GBK" w:cs="Times New Roman"/>
          <w:color w:val="auto"/>
          <w:sz w:val="28"/>
          <w:szCs w:val="28"/>
          <w:highlight w:val="none"/>
          <w:lang w:val="en-US" w:eastAsia="zh-CN"/>
        </w:rPr>
        <w:t>后</w:t>
      </w:r>
      <w:r>
        <w:rPr>
          <w:rFonts w:hint="eastAsia" w:ascii="Times New Roman" w:hAnsi="Times New Roman" w:eastAsia="方正仿宋_GBK" w:cs="Times New Roman"/>
          <w:color w:val="auto"/>
          <w:sz w:val="28"/>
          <w:szCs w:val="28"/>
          <w:highlight w:val="none"/>
          <w:lang w:val="en-US" w:eastAsia="zh-CN"/>
        </w:rPr>
        <w:t>30</w:t>
      </w:r>
      <w:r>
        <w:rPr>
          <w:rFonts w:hint="default" w:ascii="Times New Roman" w:hAnsi="Times New Roman" w:eastAsia="方正仿宋_GBK" w:cs="Times New Roman"/>
          <w:color w:val="auto"/>
          <w:sz w:val="28"/>
          <w:szCs w:val="28"/>
          <w:highlight w:val="none"/>
        </w:rPr>
        <w:t>日历天。</w:t>
      </w:r>
    </w:p>
    <w:p w14:paraId="79F58C25">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7.质量</w:t>
      </w:r>
      <w:r>
        <w:rPr>
          <w:rFonts w:hint="eastAsia" w:ascii="Times New Roman" w:hAnsi="Times New Roman" w:eastAsia="方正仿宋_GBK" w:cs="Times New Roman"/>
          <w:color w:val="auto"/>
          <w:sz w:val="28"/>
          <w:szCs w:val="28"/>
          <w:highlight w:val="none"/>
          <w:lang w:val="en-US" w:eastAsia="zh-CN"/>
        </w:rPr>
        <w:t>要求</w:t>
      </w:r>
      <w:r>
        <w:rPr>
          <w:rFonts w:hint="default" w:ascii="Times New Roman" w:hAnsi="Times New Roman" w:eastAsia="方正仿宋_GBK" w:cs="Times New Roman"/>
          <w:color w:val="auto"/>
          <w:sz w:val="28"/>
          <w:szCs w:val="28"/>
          <w:highlight w:val="none"/>
          <w:lang w:val="en-US" w:eastAsia="zh-CN"/>
        </w:rPr>
        <w:t>：</w:t>
      </w:r>
      <w:r>
        <w:rPr>
          <w:rFonts w:hint="eastAsia" w:ascii="Times New Roman" w:hAnsi="Times New Roman" w:eastAsia="方正仿宋_GBK" w:cs="Times New Roman"/>
          <w:color w:val="auto"/>
          <w:sz w:val="28"/>
          <w:szCs w:val="28"/>
          <w:highlight w:val="none"/>
        </w:rPr>
        <w:t>符合</w:t>
      </w:r>
      <w:r>
        <w:rPr>
          <w:rFonts w:hint="eastAsia" w:ascii="Times New Roman" w:hAnsi="Times New Roman" w:eastAsia="方正仿宋_GBK" w:cs="Times New Roman"/>
          <w:color w:val="auto"/>
          <w:sz w:val="28"/>
          <w:szCs w:val="28"/>
          <w:highlight w:val="none"/>
          <w:lang w:eastAsia="zh-CN"/>
        </w:rPr>
        <w:t>国家、重庆市</w:t>
      </w:r>
      <w:r>
        <w:rPr>
          <w:rFonts w:hint="eastAsia" w:ascii="Times New Roman" w:hAnsi="Times New Roman" w:eastAsia="方正仿宋_GBK" w:cs="Times New Roman"/>
          <w:color w:val="auto"/>
          <w:sz w:val="28"/>
          <w:szCs w:val="28"/>
          <w:highlight w:val="none"/>
        </w:rPr>
        <w:t>相关行业标准</w:t>
      </w:r>
      <w:r>
        <w:rPr>
          <w:rFonts w:hint="eastAsia" w:ascii="Times New Roman" w:hAnsi="Times New Roman" w:eastAsia="方正仿宋_GBK" w:cs="Times New Roman"/>
          <w:color w:val="auto"/>
          <w:sz w:val="28"/>
          <w:szCs w:val="28"/>
          <w:highlight w:val="none"/>
          <w:lang w:eastAsia="zh-CN"/>
        </w:rPr>
        <w:t>。</w:t>
      </w:r>
    </w:p>
    <w:p w14:paraId="2397344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val="en-US" w:eastAsia="zh-CN"/>
        </w:rPr>
        <w:t>8.</w:t>
      </w:r>
      <w:r>
        <w:rPr>
          <w:rFonts w:hint="default" w:ascii="Times New Roman" w:hAnsi="Times New Roman" w:eastAsia="方正仿宋_GBK" w:cs="Times New Roman"/>
          <w:color w:val="auto"/>
          <w:sz w:val="28"/>
          <w:szCs w:val="28"/>
          <w:highlight w:val="none"/>
        </w:rPr>
        <w:t>资金来源：</w:t>
      </w:r>
      <w:r>
        <w:rPr>
          <w:rFonts w:hint="default" w:ascii="Times New Roman" w:hAnsi="Times New Roman" w:eastAsia="方正仿宋_GBK" w:cs="Times New Roman"/>
          <w:color w:val="auto"/>
          <w:sz w:val="28"/>
          <w:szCs w:val="28"/>
          <w:highlight w:val="none"/>
          <w:lang w:val="en-US" w:eastAsia="zh-CN"/>
        </w:rPr>
        <w:t>业主</w:t>
      </w:r>
      <w:r>
        <w:rPr>
          <w:rFonts w:hint="default" w:ascii="Times New Roman" w:hAnsi="Times New Roman" w:eastAsia="方正仿宋_GBK" w:cs="Times New Roman"/>
          <w:color w:val="auto"/>
          <w:sz w:val="28"/>
          <w:szCs w:val="28"/>
          <w:highlight w:val="none"/>
        </w:rPr>
        <w:t>自筹。</w:t>
      </w:r>
    </w:p>
    <w:p w14:paraId="07D2B7D5">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rPr>
      </w:pPr>
      <w:r>
        <w:rPr>
          <w:rFonts w:hint="eastAsia" w:ascii="Times New Roman" w:hAnsi="Times New Roman" w:eastAsia="方正仿宋_GBK" w:cs="Times New Roman"/>
          <w:color w:val="auto"/>
          <w:sz w:val="28"/>
          <w:szCs w:val="28"/>
          <w:highlight w:val="none"/>
          <w:lang w:val="en-US" w:eastAsia="zh-CN"/>
        </w:rPr>
        <w:t>9.质保期限：2年。</w:t>
      </w:r>
    </w:p>
    <w:p w14:paraId="5C21F2A0">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黑体_GBK" w:cs="Times New Roman"/>
          <w:color w:val="auto"/>
          <w:sz w:val="28"/>
          <w:szCs w:val="28"/>
          <w:highlight w:val="none"/>
          <w:lang w:val="en-US" w:eastAsia="zh-CN"/>
        </w:rPr>
      </w:pPr>
      <w:r>
        <w:rPr>
          <w:rFonts w:hint="default" w:ascii="Times New Roman" w:hAnsi="Times New Roman" w:eastAsia="方正黑体_GBK" w:cs="Times New Roman"/>
          <w:color w:val="auto"/>
          <w:sz w:val="28"/>
          <w:szCs w:val="28"/>
          <w:highlight w:val="none"/>
          <w:lang w:val="en-US" w:eastAsia="zh-CN"/>
        </w:rPr>
        <w:t>二、参选人资格要求</w:t>
      </w:r>
    </w:p>
    <w:p w14:paraId="67FD2D8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方正仿宋_GBK" w:cs="Times New Roman"/>
          <w:color w:val="auto"/>
          <w:sz w:val="28"/>
          <w:szCs w:val="28"/>
          <w:highlight w:val="none"/>
          <w:lang w:eastAsia="zh-CN"/>
        </w:rPr>
      </w:pPr>
      <w:r>
        <w:rPr>
          <w:rFonts w:hint="default" w:ascii="Times New Roman" w:hAnsi="Times New Roman" w:eastAsia="方正仿宋_GBK" w:cs="Times New Roman"/>
          <w:color w:val="auto"/>
          <w:sz w:val="28"/>
          <w:szCs w:val="28"/>
          <w:highlight w:val="none"/>
        </w:rPr>
        <w:t>1、一般资格条件</w:t>
      </w:r>
      <w:r>
        <w:rPr>
          <w:rFonts w:hint="eastAsia" w:ascii="Times New Roman" w:hAnsi="Times New Roman" w:eastAsia="方正仿宋_GBK" w:cs="Times New Roman"/>
          <w:color w:val="auto"/>
          <w:sz w:val="28"/>
          <w:szCs w:val="28"/>
          <w:highlight w:val="none"/>
          <w:lang w:eastAsia="zh-CN"/>
        </w:rPr>
        <w:t>：</w:t>
      </w:r>
    </w:p>
    <w:p w14:paraId="6D901E14">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(1)具有独立承担民事责任的能力；</w:t>
      </w:r>
    </w:p>
    <w:p w14:paraId="31CE0A2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(2)具有良好的商业信誉和健全的财务会计制度；</w:t>
      </w:r>
    </w:p>
    <w:p w14:paraId="1F4D496D">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(3)具有履行合同所必需的设备和专业技术能力；</w:t>
      </w:r>
    </w:p>
    <w:p w14:paraId="4ECF7FA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(4)有依法缴纳税收和社会保障资金的良好记录；</w:t>
      </w:r>
    </w:p>
    <w:p w14:paraId="453C183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(5)参加投标活动近三年内，在经营活动中没有重大违法记录；</w:t>
      </w:r>
    </w:p>
    <w:p w14:paraId="0115BF3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(6)参选人未被“信用中国”网站（www.creditchina.gov.cn）列为失信被执行人（提供相关查询截图并加盖公章）；</w:t>
      </w:r>
    </w:p>
    <w:p w14:paraId="1454D1D4">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w:t>
      </w:r>
      <w:r>
        <w:rPr>
          <w:rFonts w:hint="default" w:ascii="Times New Roman" w:hAnsi="Times New Roman" w:eastAsia="方正仿宋_GBK" w:cs="Times New Roman"/>
          <w:color w:val="auto"/>
          <w:sz w:val="28"/>
          <w:szCs w:val="28"/>
          <w:highlight w:val="none"/>
          <w:lang w:val="en-US" w:eastAsia="zh-CN"/>
        </w:rPr>
        <w:t>7</w:t>
      </w:r>
      <w:r>
        <w:rPr>
          <w:rFonts w:hint="default" w:ascii="Times New Roman" w:hAnsi="Times New Roman" w:eastAsia="方正仿宋_GBK" w:cs="Times New Roman"/>
          <w:color w:val="auto"/>
          <w:sz w:val="28"/>
          <w:szCs w:val="28"/>
          <w:highlight w:val="none"/>
        </w:rPr>
        <w:t>)法律、行政法规规定的其他条件。</w:t>
      </w:r>
    </w:p>
    <w:p w14:paraId="54EAB68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rPr>
        <w:t>2、</w:t>
      </w:r>
      <w:r>
        <w:rPr>
          <w:rFonts w:hint="default" w:ascii="Times New Roman" w:hAnsi="Times New Roman" w:eastAsia="方正仿宋_GBK" w:cs="Times New Roman"/>
          <w:color w:val="auto"/>
          <w:sz w:val="28"/>
          <w:szCs w:val="28"/>
          <w:highlight w:val="none"/>
          <w:lang w:val="en-US" w:eastAsia="zh-CN"/>
        </w:rPr>
        <w:t>资质条件：</w:t>
      </w:r>
    </w:p>
    <w:p w14:paraId="5AC463EB">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（1）参选人须具有独立承担民事责任的能力，具有有效的营业执照（须提供有效的营业执照，加盖单位公章，原件备查），营业执照经营范围中应包含声光电类似经营范围；</w:t>
      </w:r>
    </w:p>
    <w:p w14:paraId="1D787B2B">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（2）具备建设行政主管部门颁发的电子与智能化工程专业承包贰级及以上资质、且同时具备电子与智能化工程设计乙级及以上资质（提供资质证书复印件，加盖参选人公章）。</w:t>
      </w:r>
    </w:p>
    <w:p w14:paraId="60586185">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（3）不接受联合体参选.</w:t>
      </w:r>
    </w:p>
    <w:p w14:paraId="5715BF3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黑体_GBK" w:cs="Times New Roman"/>
          <w:color w:val="auto"/>
          <w:sz w:val="28"/>
          <w:szCs w:val="28"/>
          <w:highlight w:val="none"/>
          <w:lang w:val="en-US" w:eastAsia="zh-CN"/>
        </w:rPr>
      </w:pPr>
      <w:r>
        <w:rPr>
          <w:rFonts w:hint="default" w:ascii="Times New Roman" w:hAnsi="Times New Roman" w:eastAsia="方正黑体_GBK" w:cs="Times New Roman"/>
          <w:color w:val="auto"/>
          <w:sz w:val="28"/>
          <w:szCs w:val="28"/>
          <w:highlight w:val="none"/>
          <w:lang w:val="en-US" w:eastAsia="zh-CN"/>
        </w:rPr>
        <w:t>三、</w:t>
      </w:r>
      <w:r>
        <w:rPr>
          <w:rFonts w:hint="eastAsia" w:ascii="Times New Roman" w:hAnsi="Times New Roman" w:eastAsia="方正黑体_GBK" w:cs="Times New Roman"/>
          <w:color w:val="auto"/>
          <w:sz w:val="28"/>
          <w:szCs w:val="28"/>
          <w:highlight w:val="none"/>
          <w:lang w:val="en-US" w:eastAsia="zh-CN"/>
        </w:rPr>
        <w:t>比选</w:t>
      </w:r>
      <w:r>
        <w:rPr>
          <w:rFonts w:hint="default" w:ascii="Times New Roman" w:hAnsi="Times New Roman" w:eastAsia="方正黑体_GBK" w:cs="Times New Roman"/>
          <w:color w:val="auto"/>
          <w:sz w:val="28"/>
          <w:szCs w:val="28"/>
          <w:highlight w:val="none"/>
          <w:lang w:val="en-US" w:eastAsia="zh-CN"/>
        </w:rPr>
        <w:t>文件的获取</w:t>
      </w:r>
    </w:p>
    <w:p w14:paraId="7D53A890">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val="en-US" w:eastAsia="zh-CN"/>
        </w:rPr>
        <w:t>凡确定参加比选的单位在</w:t>
      </w:r>
      <w:r>
        <w:rPr>
          <w:rFonts w:hint="default" w:ascii="Times New Roman" w:hAnsi="Times New Roman" w:eastAsia="方正仿宋_GBK" w:cs="Times New Roman"/>
          <w:color w:val="auto"/>
          <w:sz w:val="28"/>
          <w:szCs w:val="28"/>
          <w:highlight w:val="none"/>
        </w:rPr>
        <w:t>202</w:t>
      </w:r>
      <w:r>
        <w:rPr>
          <w:rFonts w:hint="eastAsia" w:ascii="Times New Roman" w:hAnsi="Times New Roman" w:eastAsia="方正仿宋_GBK" w:cs="Times New Roman"/>
          <w:color w:val="auto"/>
          <w:sz w:val="28"/>
          <w:szCs w:val="28"/>
          <w:highlight w:val="none"/>
          <w:lang w:val="en-US" w:eastAsia="zh-CN"/>
        </w:rPr>
        <w:t>6</w:t>
      </w:r>
      <w:r>
        <w:rPr>
          <w:rFonts w:hint="default" w:ascii="Times New Roman" w:hAnsi="Times New Roman" w:eastAsia="方正仿宋_GBK" w:cs="Times New Roman"/>
          <w:color w:val="auto"/>
          <w:sz w:val="28"/>
          <w:szCs w:val="28"/>
          <w:highlight w:val="none"/>
        </w:rPr>
        <w:t>年</w:t>
      </w:r>
      <w:r>
        <w:rPr>
          <w:rFonts w:hint="eastAsia" w:ascii="Times New Roman" w:hAnsi="Times New Roman" w:eastAsia="方正仿宋_GBK" w:cs="Times New Roman"/>
          <w:color w:val="auto"/>
          <w:sz w:val="28"/>
          <w:szCs w:val="28"/>
          <w:highlight w:val="none"/>
          <w:lang w:val="en-US" w:eastAsia="zh-CN"/>
        </w:rPr>
        <w:t>7</w:t>
      </w:r>
      <w:r>
        <w:rPr>
          <w:rFonts w:hint="default" w:ascii="Times New Roman" w:hAnsi="Times New Roman" w:eastAsia="方正仿宋_GBK" w:cs="Times New Roman"/>
          <w:color w:val="auto"/>
          <w:sz w:val="28"/>
          <w:szCs w:val="28"/>
          <w:highlight w:val="none"/>
        </w:rPr>
        <w:t>月</w:t>
      </w:r>
      <w:r>
        <w:rPr>
          <w:rFonts w:hint="eastAsia" w:ascii="Times New Roman" w:hAnsi="Times New Roman" w:eastAsia="方正仿宋_GBK" w:cs="Times New Roman"/>
          <w:color w:val="auto"/>
          <w:sz w:val="28"/>
          <w:szCs w:val="28"/>
          <w:highlight w:val="none"/>
          <w:lang w:val="en-US" w:eastAsia="zh-CN"/>
        </w:rPr>
        <w:t>17</w:t>
      </w:r>
      <w:r>
        <w:rPr>
          <w:rFonts w:hint="default" w:ascii="Times New Roman" w:hAnsi="Times New Roman" w:eastAsia="方正仿宋_GBK" w:cs="Times New Roman"/>
          <w:color w:val="auto"/>
          <w:sz w:val="28"/>
          <w:szCs w:val="28"/>
          <w:highlight w:val="none"/>
        </w:rPr>
        <w:t>日</w:t>
      </w:r>
      <w:r>
        <w:rPr>
          <w:rFonts w:hint="eastAsia" w:ascii="Times New Roman" w:hAnsi="Times New Roman" w:eastAsia="方正仿宋_GBK" w:cs="Times New Roman"/>
          <w:color w:val="auto"/>
          <w:sz w:val="28"/>
          <w:szCs w:val="28"/>
          <w:highlight w:val="none"/>
          <w:lang w:val="en-US" w:eastAsia="zh-CN"/>
        </w:rPr>
        <w:t>10.00</w:t>
      </w:r>
      <w:r>
        <w:rPr>
          <w:rFonts w:hint="default" w:ascii="Times New Roman" w:hAnsi="Times New Roman" w:eastAsia="方正仿宋_GBK" w:cs="Times New Roman"/>
          <w:color w:val="auto"/>
          <w:sz w:val="28"/>
          <w:szCs w:val="28"/>
          <w:highlight w:val="none"/>
        </w:rPr>
        <w:t>时前（北京时间，下同）</w:t>
      </w:r>
      <w:r>
        <w:rPr>
          <w:rFonts w:hint="default" w:ascii="Times New Roman" w:hAnsi="Times New Roman" w:eastAsia="方正仿宋_GBK" w:cs="Times New Roman"/>
          <w:color w:val="auto"/>
          <w:sz w:val="28"/>
          <w:szCs w:val="28"/>
          <w:highlight w:val="none"/>
          <w:lang w:val="en-US" w:eastAsia="zh-CN"/>
        </w:rPr>
        <w:t>在阿依河景区官网（网址：http://www.ayhjq.com）上下载本项目</w:t>
      </w:r>
      <w:r>
        <w:rPr>
          <w:rFonts w:hint="eastAsia" w:ascii="Times New Roman" w:hAnsi="Times New Roman" w:eastAsia="方正仿宋_GBK" w:cs="Times New Roman"/>
          <w:color w:val="auto"/>
          <w:sz w:val="28"/>
          <w:szCs w:val="28"/>
          <w:highlight w:val="none"/>
          <w:lang w:val="en-US" w:eastAsia="zh-CN"/>
        </w:rPr>
        <w:t>比选</w:t>
      </w:r>
      <w:r>
        <w:rPr>
          <w:rFonts w:hint="default" w:ascii="Times New Roman" w:hAnsi="Times New Roman" w:eastAsia="方正仿宋_GBK" w:cs="Times New Roman"/>
          <w:color w:val="auto"/>
          <w:sz w:val="28"/>
          <w:szCs w:val="28"/>
          <w:highlight w:val="none"/>
          <w:lang w:val="en-US" w:eastAsia="zh-CN"/>
        </w:rPr>
        <w:t>文件及相关资料</w:t>
      </w:r>
      <w:r>
        <w:rPr>
          <w:rFonts w:hint="default" w:ascii="Times New Roman" w:hAnsi="Times New Roman" w:eastAsia="方正仿宋_GBK" w:cs="Times New Roman"/>
          <w:color w:val="auto"/>
          <w:sz w:val="28"/>
          <w:szCs w:val="28"/>
          <w:highlight w:val="none"/>
        </w:rPr>
        <w:t>。</w:t>
      </w:r>
    </w:p>
    <w:p w14:paraId="29B59C2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strike/>
          <w:dstrike w:val="0"/>
          <w:color w:val="auto"/>
          <w:sz w:val="28"/>
          <w:szCs w:val="28"/>
          <w:highlight w:val="none"/>
          <w:lang w:val="en-US" w:eastAsia="zh-CN"/>
        </w:rPr>
      </w:pPr>
      <w:r>
        <w:rPr>
          <w:rFonts w:hint="eastAsia" w:ascii="Times New Roman" w:hAnsi="Times New Roman" w:eastAsia="方正黑体_GBK" w:cs="Times New Roman"/>
          <w:color w:val="auto"/>
          <w:sz w:val="28"/>
          <w:szCs w:val="28"/>
          <w:highlight w:val="none"/>
          <w:lang w:val="en-US" w:eastAsia="zh-CN"/>
        </w:rPr>
        <w:t>四</w:t>
      </w:r>
      <w:r>
        <w:rPr>
          <w:rFonts w:hint="default" w:ascii="Times New Roman" w:hAnsi="Times New Roman" w:eastAsia="方正黑体_GBK" w:cs="Times New Roman"/>
          <w:color w:val="auto"/>
          <w:sz w:val="28"/>
          <w:szCs w:val="28"/>
          <w:highlight w:val="none"/>
          <w:lang w:val="en-US" w:eastAsia="zh-CN"/>
        </w:rPr>
        <w:t>、开标时间</w:t>
      </w:r>
    </w:p>
    <w:p w14:paraId="279C4E9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开标时间</w:t>
      </w:r>
      <w:r>
        <w:rPr>
          <w:rFonts w:hint="default" w:ascii="Times New Roman" w:hAnsi="Times New Roman" w:eastAsia="方正仿宋_GBK" w:cs="Times New Roman"/>
          <w:color w:val="auto"/>
          <w:sz w:val="28"/>
          <w:szCs w:val="28"/>
          <w:highlight w:val="none"/>
        </w:rPr>
        <w:t>：20</w:t>
      </w:r>
      <w:r>
        <w:rPr>
          <w:rFonts w:hint="default" w:ascii="Times New Roman" w:hAnsi="Times New Roman" w:eastAsia="方正仿宋_GBK" w:cs="Times New Roman"/>
          <w:color w:val="auto"/>
          <w:sz w:val="28"/>
          <w:szCs w:val="28"/>
          <w:highlight w:val="none"/>
          <w:lang w:val="en-US" w:eastAsia="zh-CN"/>
        </w:rPr>
        <w:t>2</w:t>
      </w:r>
      <w:r>
        <w:rPr>
          <w:rFonts w:hint="eastAsia" w:ascii="Times New Roman" w:hAnsi="Times New Roman" w:eastAsia="方正仿宋_GBK" w:cs="Times New Roman"/>
          <w:color w:val="auto"/>
          <w:sz w:val="28"/>
          <w:szCs w:val="28"/>
          <w:highlight w:val="none"/>
          <w:lang w:val="en-US" w:eastAsia="zh-CN"/>
        </w:rPr>
        <w:t>6</w:t>
      </w:r>
      <w:r>
        <w:rPr>
          <w:rFonts w:hint="default" w:ascii="Times New Roman" w:hAnsi="Times New Roman" w:eastAsia="方正仿宋_GBK" w:cs="Times New Roman"/>
          <w:color w:val="auto"/>
          <w:sz w:val="28"/>
          <w:szCs w:val="28"/>
          <w:highlight w:val="none"/>
        </w:rPr>
        <w:t>年</w:t>
      </w:r>
      <w:r>
        <w:rPr>
          <w:rFonts w:hint="eastAsia" w:ascii="Times New Roman" w:hAnsi="Times New Roman" w:eastAsia="方正仿宋_GBK" w:cs="Times New Roman"/>
          <w:color w:val="auto"/>
          <w:sz w:val="28"/>
          <w:szCs w:val="28"/>
          <w:highlight w:val="none"/>
          <w:lang w:val="en-US" w:eastAsia="zh-CN"/>
        </w:rPr>
        <w:t>7</w:t>
      </w:r>
      <w:r>
        <w:rPr>
          <w:rFonts w:hint="default" w:ascii="Times New Roman" w:hAnsi="Times New Roman" w:eastAsia="方正仿宋_GBK" w:cs="Times New Roman"/>
          <w:color w:val="auto"/>
          <w:sz w:val="28"/>
          <w:szCs w:val="28"/>
          <w:highlight w:val="none"/>
        </w:rPr>
        <w:t>月</w:t>
      </w:r>
      <w:r>
        <w:rPr>
          <w:rFonts w:hint="eastAsia" w:ascii="Times New Roman" w:hAnsi="Times New Roman" w:eastAsia="方正仿宋_GBK" w:cs="Times New Roman"/>
          <w:color w:val="auto"/>
          <w:sz w:val="28"/>
          <w:szCs w:val="28"/>
          <w:highlight w:val="none"/>
          <w:lang w:val="en-US" w:eastAsia="zh-CN"/>
        </w:rPr>
        <w:t>17</w:t>
      </w:r>
      <w:r>
        <w:rPr>
          <w:rFonts w:hint="default" w:ascii="Times New Roman" w:hAnsi="Times New Roman" w:eastAsia="方正仿宋_GBK" w:cs="Times New Roman"/>
          <w:color w:val="auto"/>
          <w:sz w:val="28"/>
          <w:szCs w:val="28"/>
          <w:highlight w:val="none"/>
        </w:rPr>
        <w:t>日</w:t>
      </w:r>
      <w:r>
        <w:rPr>
          <w:rFonts w:hint="eastAsia" w:ascii="Times New Roman" w:hAnsi="Times New Roman" w:eastAsia="方正仿宋_GBK" w:cs="Times New Roman"/>
          <w:color w:val="auto"/>
          <w:sz w:val="28"/>
          <w:szCs w:val="28"/>
          <w:highlight w:val="none"/>
          <w:lang w:val="en-US" w:eastAsia="zh-CN"/>
        </w:rPr>
        <w:t>上午10</w:t>
      </w:r>
      <w:r>
        <w:rPr>
          <w:rFonts w:hint="default" w:ascii="Times New Roman" w:hAnsi="Times New Roman" w:eastAsia="方正仿宋_GBK" w:cs="Times New Roman"/>
          <w:color w:val="auto"/>
          <w:sz w:val="28"/>
          <w:szCs w:val="28"/>
          <w:highlight w:val="none"/>
        </w:rPr>
        <w:t>：00时</w:t>
      </w:r>
      <w:r>
        <w:rPr>
          <w:rFonts w:hint="eastAsia" w:ascii="Times New Roman" w:hAnsi="Times New Roman" w:eastAsia="方正仿宋_GBK" w:cs="Times New Roman"/>
          <w:color w:val="auto"/>
          <w:sz w:val="28"/>
          <w:szCs w:val="28"/>
          <w:highlight w:val="none"/>
          <w:lang w:eastAsia="zh-CN"/>
        </w:rPr>
        <w:t>。</w:t>
      </w:r>
    </w:p>
    <w:p w14:paraId="0644E9F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方正黑体_GBK" w:cs="Times New Roman"/>
          <w:color w:val="auto"/>
          <w:sz w:val="28"/>
          <w:szCs w:val="28"/>
          <w:highlight w:val="none"/>
          <w:lang w:val="en-US" w:eastAsia="zh-CN"/>
        </w:rPr>
      </w:pPr>
      <w:r>
        <w:rPr>
          <w:rFonts w:hint="eastAsia" w:ascii="Times New Roman" w:hAnsi="Times New Roman" w:eastAsia="方正黑体_GBK" w:cs="Times New Roman"/>
          <w:color w:val="auto"/>
          <w:sz w:val="28"/>
          <w:szCs w:val="28"/>
          <w:highlight w:val="none"/>
          <w:lang w:val="en-US" w:eastAsia="zh-CN"/>
        </w:rPr>
        <w:t>五、参选文件的递交</w:t>
      </w:r>
    </w:p>
    <w:p w14:paraId="5F369D8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参选</w:t>
      </w:r>
      <w:r>
        <w:rPr>
          <w:rFonts w:hint="default" w:ascii="Times New Roman" w:hAnsi="Times New Roman" w:eastAsia="方正仿宋_GBK" w:cs="Times New Roman"/>
          <w:color w:val="auto"/>
          <w:sz w:val="28"/>
          <w:szCs w:val="28"/>
          <w:highlight w:val="none"/>
          <w:lang w:val="en-US" w:eastAsia="zh-CN"/>
        </w:rPr>
        <w:t>文件递交的截止时间（</w:t>
      </w:r>
      <w:r>
        <w:rPr>
          <w:rFonts w:hint="eastAsia" w:ascii="Times New Roman" w:hAnsi="Times New Roman" w:eastAsia="方正仿宋_GBK" w:cs="Times New Roman"/>
          <w:color w:val="auto"/>
          <w:sz w:val="28"/>
          <w:szCs w:val="28"/>
          <w:highlight w:val="none"/>
          <w:lang w:val="en-US" w:eastAsia="zh-CN"/>
        </w:rPr>
        <w:t>参选</w:t>
      </w:r>
      <w:r>
        <w:rPr>
          <w:rFonts w:hint="default" w:ascii="Times New Roman" w:hAnsi="Times New Roman" w:eastAsia="方正仿宋_GBK" w:cs="Times New Roman"/>
          <w:color w:val="auto"/>
          <w:sz w:val="28"/>
          <w:szCs w:val="28"/>
          <w:highlight w:val="none"/>
          <w:lang w:val="en-US" w:eastAsia="zh-CN"/>
        </w:rPr>
        <w:t>截止时间，下同）为</w:t>
      </w:r>
      <w:r>
        <w:rPr>
          <w:rFonts w:hint="eastAsia" w:ascii="Times New Roman" w:hAnsi="Times New Roman" w:eastAsia="方正仿宋_GBK" w:cs="Times New Roman"/>
          <w:color w:val="auto"/>
          <w:sz w:val="28"/>
          <w:szCs w:val="28"/>
          <w:highlight w:val="none"/>
          <w:lang w:val="en-US" w:eastAsia="zh-CN"/>
        </w:rPr>
        <w:t>2026</w:t>
      </w:r>
      <w:r>
        <w:rPr>
          <w:rFonts w:hint="default" w:ascii="Times New Roman" w:hAnsi="Times New Roman" w:eastAsia="方正仿宋_GBK" w:cs="Times New Roman"/>
          <w:color w:val="auto"/>
          <w:sz w:val="28"/>
          <w:szCs w:val="28"/>
          <w:highlight w:val="none"/>
          <w:lang w:val="en-US" w:eastAsia="zh-CN"/>
        </w:rPr>
        <w:t>年</w:t>
      </w:r>
      <w:r>
        <w:rPr>
          <w:rFonts w:hint="eastAsia" w:ascii="Times New Roman" w:hAnsi="Times New Roman" w:eastAsia="方正仿宋_GBK" w:cs="Times New Roman"/>
          <w:color w:val="auto"/>
          <w:sz w:val="28"/>
          <w:szCs w:val="28"/>
          <w:highlight w:val="none"/>
          <w:lang w:val="en-US" w:eastAsia="zh-CN"/>
        </w:rPr>
        <w:t>7</w:t>
      </w:r>
      <w:r>
        <w:rPr>
          <w:rFonts w:hint="default" w:ascii="Times New Roman" w:hAnsi="Times New Roman" w:eastAsia="方正仿宋_GBK" w:cs="Times New Roman"/>
          <w:color w:val="auto"/>
          <w:sz w:val="28"/>
          <w:szCs w:val="28"/>
          <w:highlight w:val="none"/>
          <w:lang w:val="en-US" w:eastAsia="zh-CN"/>
        </w:rPr>
        <w:t>月</w:t>
      </w:r>
      <w:r>
        <w:rPr>
          <w:rFonts w:hint="eastAsia" w:ascii="Times New Roman" w:hAnsi="Times New Roman" w:eastAsia="方正仿宋_GBK" w:cs="Times New Roman"/>
          <w:color w:val="auto"/>
          <w:sz w:val="28"/>
          <w:szCs w:val="28"/>
          <w:highlight w:val="none"/>
          <w:lang w:val="en-US" w:eastAsia="zh-CN"/>
        </w:rPr>
        <w:t>17</w:t>
      </w:r>
      <w:r>
        <w:rPr>
          <w:rFonts w:hint="default" w:ascii="Times New Roman" w:hAnsi="Times New Roman" w:eastAsia="方正仿宋_GBK" w:cs="Times New Roman"/>
          <w:color w:val="auto"/>
          <w:sz w:val="28"/>
          <w:szCs w:val="28"/>
          <w:highlight w:val="none"/>
          <w:lang w:val="en-US" w:eastAsia="zh-CN"/>
        </w:rPr>
        <w:t>日</w:t>
      </w:r>
      <w:r>
        <w:rPr>
          <w:rFonts w:hint="eastAsia" w:ascii="Times New Roman" w:hAnsi="Times New Roman" w:eastAsia="方正仿宋_GBK" w:cs="Times New Roman"/>
          <w:color w:val="auto"/>
          <w:sz w:val="28"/>
          <w:szCs w:val="28"/>
          <w:highlight w:val="none"/>
          <w:lang w:val="en-US" w:eastAsia="zh-CN"/>
        </w:rPr>
        <w:t>上</w:t>
      </w:r>
      <w:r>
        <w:rPr>
          <w:rFonts w:hint="default" w:ascii="Times New Roman" w:hAnsi="Times New Roman" w:eastAsia="方正仿宋_GBK" w:cs="Times New Roman"/>
          <w:color w:val="auto"/>
          <w:sz w:val="28"/>
          <w:szCs w:val="28"/>
          <w:highlight w:val="none"/>
        </w:rPr>
        <w:t>午</w:t>
      </w:r>
      <w:r>
        <w:rPr>
          <w:rFonts w:hint="eastAsia" w:ascii="Times New Roman" w:hAnsi="Times New Roman" w:eastAsia="方正仿宋_GBK" w:cs="Times New Roman"/>
          <w:color w:val="auto"/>
          <w:sz w:val="28"/>
          <w:szCs w:val="28"/>
          <w:highlight w:val="none"/>
          <w:lang w:val="en-US" w:eastAsia="zh-CN"/>
        </w:rPr>
        <w:t>10</w:t>
      </w:r>
      <w:r>
        <w:rPr>
          <w:rFonts w:hint="default" w:ascii="Times New Roman" w:hAnsi="Times New Roman" w:eastAsia="方正仿宋_GBK" w:cs="Times New Roman"/>
          <w:color w:val="auto"/>
          <w:sz w:val="28"/>
          <w:szCs w:val="28"/>
          <w:highlight w:val="none"/>
        </w:rPr>
        <w:t>：00时</w:t>
      </w:r>
      <w:r>
        <w:rPr>
          <w:rFonts w:hint="default" w:ascii="Times New Roman" w:hAnsi="Times New Roman" w:eastAsia="方正仿宋_GBK" w:cs="Times New Roman"/>
          <w:color w:val="auto"/>
          <w:sz w:val="28"/>
          <w:szCs w:val="28"/>
          <w:highlight w:val="none"/>
          <w:lang w:val="en-US" w:eastAsia="zh-CN"/>
        </w:rPr>
        <w:t>，</w:t>
      </w:r>
      <w:r>
        <w:rPr>
          <w:rFonts w:hint="eastAsia" w:ascii="Times New Roman" w:hAnsi="Times New Roman" w:eastAsia="方正仿宋_GBK" w:cs="Times New Roman"/>
          <w:color w:val="auto"/>
          <w:sz w:val="28"/>
          <w:szCs w:val="28"/>
          <w:highlight w:val="none"/>
          <w:lang w:val="en-US" w:eastAsia="zh-CN"/>
        </w:rPr>
        <w:t>参选人应当在参选截止时间前</w:t>
      </w:r>
      <w:r>
        <w:rPr>
          <w:rFonts w:hint="default" w:ascii="Times New Roman" w:hAnsi="Times New Roman" w:eastAsia="方正仿宋_GBK" w:cs="Times New Roman"/>
          <w:color w:val="auto"/>
          <w:sz w:val="28"/>
          <w:szCs w:val="28"/>
          <w:highlight w:val="none"/>
          <w:lang w:val="en-US" w:eastAsia="zh-CN"/>
        </w:rPr>
        <w:t>将参选文件送至重庆市彭水县绍庆街道阿依河社区6组168号阿依河景区服务保障部，联系人：</w:t>
      </w:r>
      <w:r>
        <w:rPr>
          <w:rFonts w:hint="eastAsia" w:ascii="Times New Roman" w:hAnsi="Times New Roman" w:eastAsia="方正仿宋_GBK" w:cs="Times New Roman"/>
          <w:color w:val="auto"/>
          <w:sz w:val="28"/>
          <w:szCs w:val="28"/>
          <w:highlight w:val="none"/>
          <w:lang w:val="en-US" w:eastAsia="zh-CN"/>
        </w:rPr>
        <w:t>刘</w:t>
      </w:r>
      <w:r>
        <w:rPr>
          <w:rFonts w:hint="default" w:ascii="Times New Roman" w:hAnsi="Times New Roman" w:eastAsia="方正仿宋_GBK" w:cs="Times New Roman"/>
          <w:color w:val="auto"/>
          <w:sz w:val="28"/>
          <w:szCs w:val="28"/>
          <w:highlight w:val="none"/>
          <w:lang w:val="en-US" w:eastAsia="zh-CN"/>
        </w:rPr>
        <w:t>老师，电话</w:t>
      </w:r>
      <w:r>
        <w:rPr>
          <w:rFonts w:hint="eastAsia" w:ascii="Times New Roman" w:hAnsi="Times New Roman" w:eastAsia="方正仿宋_GBK" w:cs="Times New Roman"/>
          <w:color w:val="auto"/>
          <w:sz w:val="28"/>
          <w:szCs w:val="28"/>
          <w:highlight w:val="none"/>
          <w:lang w:val="en-US" w:eastAsia="zh-CN"/>
        </w:rPr>
        <w:t>15025486525</w:t>
      </w:r>
      <w:r>
        <w:rPr>
          <w:rFonts w:hint="default" w:ascii="Times New Roman" w:hAnsi="Times New Roman" w:eastAsia="方正仿宋_GBK" w:cs="Times New Roman"/>
          <w:color w:val="auto"/>
          <w:sz w:val="28"/>
          <w:szCs w:val="28"/>
          <w:highlight w:val="none"/>
          <w:lang w:val="en-US" w:eastAsia="zh-CN"/>
        </w:rPr>
        <w:t>，邮箱</w:t>
      </w:r>
      <w:r>
        <w:rPr>
          <w:rFonts w:hint="default" w:ascii="Times New Roman" w:hAnsi="Times New Roman" w:eastAsia="方正仿宋_GBK" w:cs="Times New Roman"/>
          <w:color w:val="auto"/>
          <w:sz w:val="28"/>
          <w:szCs w:val="28"/>
          <w:highlight w:val="none"/>
          <w:lang w:val="en-US" w:eastAsia="zh-CN"/>
        </w:rPr>
        <w:fldChar w:fldCharType="begin"/>
      </w:r>
      <w:r>
        <w:rPr>
          <w:rFonts w:hint="default" w:ascii="Times New Roman" w:hAnsi="Times New Roman" w:eastAsia="方正仿宋_GBK" w:cs="Times New Roman"/>
          <w:color w:val="auto"/>
          <w:sz w:val="28"/>
          <w:szCs w:val="28"/>
          <w:highlight w:val="none"/>
          <w:lang w:val="en-US" w:eastAsia="zh-CN"/>
        </w:rPr>
        <w:instrText xml:space="preserve"> HYPERLINK "mailto:746502844@qq.com。" </w:instrText>
      </w:r>
      <w:r>
        <w:rPr>
          <w:rFonts w:hint="default" w:ascii="Times New Roman" w:hAnsi="Times New Roman" w:eastAsia="方正仿宋_GBK" w:cs="Times New Roman"/>
          <w:color w:val="auto"/>
          <w:sz w:val="28"/>
          <w:szCs w:val="28"/>
          <w:highlight w:val="none"/>
          <w:lang w:val="en-US" w:eastAsia="zh-CN"/>
        </w:rPr>
        <w:fldChar w:fldCharType="separate"/>
      </w:r>
      <w:r>
        <w:rPr>
          <w:rStyle w:val="9"/>
          <w:rFonts w:hint="eastAsia" w:ascii="Times New Roman" w:hAnsi="Times New Roman" w:eastAsia="方正仿宋_GBK" w:cs="Times New Roman"/>
          <w:color w:val="auto"/>
          <w:sz w:val="28"/>
          <w:szCs w:val="28"/>
          <w:highlight w:val="none"/>
          <w:lang w:val="en-US" w:eastAsia="zh-CN"/>
        </w:rPr>
        <w:t>876447439</w:t>
      </w:r>
      <w:r>
        <w:rPr>
          <w:rStyle w:val="9"/>
          <w:rFonts w:hint="default" w:ascii="Times New Roman" w:hAnsi="Times New Roman" w:eastAsia="方正仿宋_GBK" w:cs="Times New Roman"/>
          <w:color w:val="auto"/>
          <w:sz w:val="28"/>
          <w:szCs w:val="28"/>
          <w:highlight w:val="none"/>
          <w:lang w:val="en-US" w:eastAsia="zh-CN"/>
        </w:rPr>
        <w:t>@qq.com。</w:t>
      </w:r>
      <w:r>
        <w:rPr>
          <w:rFonts w:hint="default" w:ascii="Times New Roman" w:hAnsi="Times New Roman" w:eastAsia="方正仿宋_GBK" w:cs="Times New Roman"/>
          <w:color w:val="auto"/>
          <w:sz w:val="28"/>
          <w:szCs w:val="28"/>
          <w:highlight w:val="none"/>
          <w:lang w:val="en-US" w:eastAsia="zh-CN"/>
        </w:rPr>
        <w:fldChar w:fldCharType="end"/>
      </w:r>
    </w:p>
    <w:p w14:paraId="268C05D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逾期送达的或者未送达指定地点的参选文件，比选人不予受理。</w:t>
      </w:r>
    </w:p>
    <w:p w14:paraId="5EE9B92D">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黑体_GBK" w:cs="Times New Roman"/>
          <w:color w:val="auto"/>
          <w:sz w:val="28"/>
          <w:szCs w:val="28"/>
          <w:highlight w:val="none"/>
          <w:lang w:val="en-US" w:eastAsia="zh-CN"/>
        </w:rPr>
      </w:pPr>
      <w:r>
        <w:rPr>
          <w:rFonts w:hint="eastAsia" w:ascii="Times New Roman" w:hAnsi="Times New Roman" w:eastAsia="方正黑体_GBK" w:cs="Times New Roman"/>
          <w:color w:val="auto"/>
          <w:sz w:val="28"/>
          <w:szCs w:val="28"/>
          <w:highlight w:val="none"/>
          <w:lang w:val="en-US" w:eastAsia="zh-CN"/>
        </w:rPr>
        <w:t>六</w:t>
      </w:r>
      <w:r>
        <w:rPr>
          <w:rFonts w:hint="default" w:ascii="Times New Roman" w:hAnsi="Times New Roman" w:eastAsia="方正黑体_GBK" w:cs="Times New Roman"/>
          <w:color w:val="auto"/>
          <w:sz w:val="28"/>
          <w:szCs w:val="28"/>
          <w:highlight w:val="none"/>
          <w:lang w:val="en-US" w:eastAsia="zh-CN"/>
        </w:rPr>
        <w:t>、参选资料要求</w:t>
      </w:r>
    </w:p>
    <w:p w14:paraId="280AB36B">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各</w:t>
      </w:r>
      <w:r>
        <w:rPr>
          <w:rFonts w:hint="default" w:ascii="Times New Roman" w:hAnsi="Times New Roman" w:eastAsia="方正仿宋_GBK" w:cs="Times New Roman"/>
          <w:color w:val="auto"/>
          <w:sz w:val="28"/>
          <w:szCs w:val="28"/>
          <w:highlight w:val="none"/>
          <w:lang w:eastAsia="zh-CN"/>
        </w:rPr>
        <w:t>参选</w:t>
      </w:r>
      <w:r>
        <w:rPr>
          <w:rFonts w:hint="default" w:ascii="Times New Roman" w:hAnsi="Times New Roman" w:eastAsia="方正仿宋_GBK" w:cs="Times New Roman"/>
          <w:color w:val="auto"/>
          <w:sz w:val="28"/>
          <w:szCs w:val="28"/>
          <w:highlight w:val="none"/>
        </w:rPr>
        <w:t>单位编制</w:t>
      </w:r>
      <w:r>
        <w:rPr>
          <w:rFonts w:hint="default" w:ascii="Times New Roman" w:hAnsi="Times New Roman" w:eastAsia="方正仿宋_GBK" w:cs="Times New Roman"/>
          <w:color w:val="auto"/>
          <w:sz w:val="28"/>
          <w:szCs w:val="28"/>
          <w:highlight w:val="none"/>
          <w:lang w:eastAsia="zh-CN"/>
        </w:rPr>
        <w:t>参</w:t>
      </w:r>
      <w:r>
        <w:rPr>
          <w:rFonts w:hint="default" w:ascii="Times New Roman" w:hAnsi="Times New Roman" w:eastAsia="方正仿宋_GBK" w:cs="Times New Roman"/>
          <w:color w:val="auto"/>
          <w:sz w:val="28"/>
          <w:szCs w:val="28"/>
          <w:highlight w:val="none"/>
        </w:rPr>
        <w:t>选资料作为我司比选依据，具体要求如下：</w:t>
      </w:r>
    </w:p>
    <w:p w14:paraId="2275D038">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val="en-US" w:eastAsia="zh-CN"/>
        </w:rPr>
        <w:t>1、</w:t>
      </w:r>
      <w:r>
        <w:rPr>
          <w:rFonts w:hint="default" w:ascii="Times New Roman" w:hAnsi="Times New Roman" w:eastAsia="方正仿宋_GBK" w:cs="Times New Roman"/>
          <w:color w:val="auto"/>
          <w:sz w:val="28"/>
          <w:szCs w:val="28"/>
          <w:highlight w:val="none"/>
        </w:rPr>
        <w:t>资格审查资料</w:t>
      </w:r>
    </w:p>
    <w:p w14:paraId="2828C108">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eastAsia="zh-CN"/>
        </w:rPr>
        <w:t>参选</w:t>
      </w:r>
      <w:r>
        <w:rPr>
          <w:rFonts w:hint="default" w:ascii="Times New Roman" w:hAnsi="Times New Roman" w:eastAsia="方正仿宋_GBK" w:cs="Times New Roman"/>
          <w:color w:val="auto"/>
          <w:sz w:val="28"/>
          <w:szCs w:val="28"/>
          <w:highlight w:val="none"/>
        </w:rPr>
        <w:t>单位需提供有效的营业执照、税务登记证和组织机构代码证或有效的三证合一营业执照复印件并加盖</w:t>
      </w:r>
      <w:r>
        <w:rPr>
          <w:rFonts w:hint="default" w:ascii="Times New Roman" w:hAnsi="Times New Roman" w:eastAsia="方正仿宋_GBK" w:cs="Times New Roman"/>
          <w:color w:val="auto"/>
          <w:sz w:val="28"/>
          <w:szCs w:val="28"/>
          <w:highlight w:val="none"/>
          <w:lang w:eastAsia="zh-CN"/>
        </w:rPr>
        <w:t>参选</w:t>
      </w:r>
      <w:r>
        <w:rPr>
          <w:rFonts w:hint="default" w:ascii="Times New Roman" w:hAnsi="Times New Roman" w:eastAsia="方正仿宋_GBK" w:cs="Times New Roman"/>
          <w:color w:val="auto"/>
          <w:sz w:val="28"/>
          <w:szCs w:val="28"/>
          <w:highlight w:val="none"/>
        </w:rPr>
        <w:t>人鲜章，法人代表身份证复印件盖</w:t>
      </w:r>
      <w:r>
        <w:rPr>
          <w:rFonts w:hint="default" w:ascii="Times New Roman" w:hAnsi="Times New Roman" w:eastAsia="方正仿宋_GBK" w:cs="Times New Roman"/>
          <w:color w:val="auto"/>
          <w:sz w:val="28"/>
          <w:szCs w:val="28"/>
          <w:highlight w:val="none"/>
          <w:lang w:eastAsia="zh-CN"/>
        </w:rPr>
        <w:t>参选</w:t>
      </w:r>
      <w:r>
        <w:rPr>
          <w:rFonts w:hint="default" w:ascii="Times New Roman" w:hAnsi="Times New Roman" w:eastAsia="方正仿宋_GBK" w:cs="Times New Roman"/>
          <w:color w:val="auto"/>
          <w:sz w:val="28"/>
          <w:szCs w:val="28"/>
          <w:highlight w:val="none"/>
        </w:rPr>
        <w:t>人鲜章</w:t>
      </w:r>
      <w:r>
        <w:rPr>
          <w:rFonts w:hint="default" w:ascii="Times New Roman" w:hAnsi="Times New Roman" w:eastAsia="方正仿宋_GBK" w:cs="Times New Roman"/>
          <w:color w:val="auto"/>
          <w:sz w:val="28"/>
          <w:szCs w:val="28"/>
          <w:highlight w:val="none"/>
          <w:lang w:eastAsia="zh-CN"/>
        </w:rPr>
        <w:t>，</w:t>
      </w:r>
      <w:r>
        <w:rPr>
          <w:rFonts w:hint="default" w:ascii="Times New Roman" w:hAnsi="Times New Roman" w:eastAsia="方正仿宋_GBK" w:cs="Times New Roman"/>
          <w:color w:val="auto"/>
          <w:sz w:val="28"/>
          <w:szCs w:val="28"/>
          <w:highlight w:val="none"/>
        </w:rPr>
        <w:t>法人授权委托书原件（法人签字并加盖单位鲜章）</w:t>
      </w:r>
      <w:r>
        <w:rPr>
          <w:rFonts w:hint="default" w:ascii="Times New Roman" w:hAnsi="Times New Roman" w:eastAsia="方正仿宋_GBK" w:cs="Times New Roman"/>
          <w:color w:val="auto"/>
          <w:sz w:val="28"/>
          <w:szCs w:val="28"/>
          <w:highlight w:val="none"/>
          <w:lang w:eastAsia="zh-CN"/>
        </w:rPr>
        <w:t>及</w:t>
      </w:r>
      <w:r>
        <w:rPr>
          <w:rFonts w:hint="default" w:ascii="Times New Roman" w:hAnsi="Times New Roman" w:eastAsia="方正仿宋_GBK" w:cs="Times New Roman"/>
          <w:color w:val="auto"/>
          <w:sz w:val="28"/>
          <w:szCs w:val="28"/>
          <w:highlight w:val="none"/>
        </w:rPr>
        <w:t>委托代理人身份证复印件盖</w:t>
      </w:r>
      <w:r>
        <w:rPr>
          <w:rFonts w:hint="default" w:ascii="Times New Roman" w:hAnsi="Times New Roman" w:eastAsia="方正仿宋_GBK" w:cs="Times New Roman"/>
          <w:color w:val="auto"/>
          <w:sz w:val="28"/>
          <w:szCs w:val="28"/>
          <w:highlight w:val="none"/>
          <w:lang w:eastAsia="zh-CN"/>
        </w:rPr>
        <w:t>参选</w:t>
      </w:r>
      <w:r>
        <w:rPr>
          <w:rFonts w:hint="default" w:ascii="Times New Roman" w:hAnsi="Times New Roman" w:eastAsia="方正仿宋_GBK" w:cs="Times New Roman"/>
          <w:color w:val="auto"/>
          <w:sz w:val="28"/>
          <w:szCs w:val="28"/>
          <w:highlight w:val="none"/>
        </w:rPr>
        <w:t>人鲜章（法人参加的</w:t>
      </w:r>
      <w:r>
        <w:rPr>
          <w:rFonts w:hint="default" w:ascii="Times New Roman" w:hAnsi="Times New Roman" w:eastAsia="方正仿宋_GBK" w:cs="Times New Roman"/>
          <w:color w:val="auto"/>
          <w:sz w:val="28"/>
          <w:szCs w:val="28"/>
          <w:highlight w:val="none"/>
          <w:lang w:eastAsia="zh-CN"/>
        </w:rPr>
        <w:t>不需提供</w:t>
      </w:r>
      <w:r>
        <w:rPr>
          <w:rFonts w:hint="default" w:ascii="Times New Roman" w:hAnsi="Times New Roman" w:eastAsia="方正仿宋_GBK" w:cs="Times New Roman"/>
          <w:color w:val="auto"/>
          <w:sz w:val="28"/>
          <w:szCs w:val="28"/>
          <w:highlight w:val="none"/>
        </w:rPr>
        <w:t>）</w:t>
      </w:r>
      <w:r>
        <w:rPr>
          <w:rFonts w:hint="default" w:ascii="Times New Roman" w:hAnsi="Times New Roman" w:eastAsia="方正仿宋_GBK" w:cs="Times New Roman"/>
          <w:color w:val="auto"/>
          <w:sz w:val="28"/>
          <w:szCs w:val="28"/>
          <w:highlight w:val="none"/>
          <w:lang w:eastAsia="zh-CN"/>
        </w:rPr>
        <w:t>，</w:t>
      </w:r>
      <w:r>
        <w:rPr>
          <w:rFonts w:hint="default" w:ascii="Times New Roman" w:hAnsi="Times New Roman" w:eastAsia="方正仿宋_GBK" w:cs="Times New Roman"/>
          <w:color w:val="auto"/>
          <w:sz w:val="28"/>
          <w:szCs w:val="28"/>
          <w:highlight w:val="none"/>
        </w:rPr>
        <w:t>相关部门颁发的资质文件复印件盖鲜章</w:t>
      </w:r>
      <w:r>
        <w:rPr>
          <w:rFonts w:hint="eastAsia" w:ascii="Times New Roman" w:hAnsi="Times New Roman" w:eastAsia="方正仿宋_GBK" w:cs="Times New Roman"/>
          <w:color w:val="auto"/>
          <w:sz w:val="28"/>
          <w:szCs w:val="28"/>
          <w:highlight w:val="none"/>
          <w:lang w:eastAsia="zh-CN"/>
        </w:rPr>
        <w:t>，</w:t>
      </w:r>
      <w:r>
        <w:rPr>
          <w:rFonts w:hint="eastAsia" w:ascii="Times New Roman" w:hAnsi="Times New Roman" w:eastAsia="方正仿宋_GBK" w:cs="Times New Roman"/>
          <w:color w:val="auto"/>
          <w:sz w:val="28"/>
          <w:szCs w:val="28"/>
          <w:highlight w:val="none"/>
          <w:lang w:val="en-US" w:eastAsia="zh-CN"/>
        </w:rPr>
        <w:t>安全生产许可证</w:t>
      </w:r>
      <w:r>
        <w:rPr>
          <w:rFonts w:hint="default" w:ascii="Times New Roman" w:hAnsi="Times New Roman" w:eastAsia="方正仿宋_GBK" w:cs="Times New Roman"/>
          <w:color w:val="auto"/>
          <w:sz w:val="28"/>
          <w:szCs w:val="28"/>
          <w:highlight w:val="none"/>
        </w:rPr>
        <w:t>复印件盖鲜章</w:t>
      </w:r>
      <w:r>
        <w:rPr>
          <w:rFonts w:hint="default" w:ascii="Times New Roman" w:hAnsi="Times New Roman" w:eastAsia="方正仿宋_GBK" w:cs="Times New Roman"/>
          <w:color w:val="auto"/>
          <w:sz w:val="28"/>
          <w:szCs w:val="28"/>
          <w:highlight w:val="none"/>
          <w:lang w:eastAsia="zh-CN"/>
        </w:rPr>
        <w:t>。</w:t>
      </w:r>
    </w:p>
    <w:p w14:paraId="0D63EA2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val="en-US" w:eastAsia="zh-CN"/>
        </w:rPr>
        <w:t>2、</w:t>
      </w:r>
      <w:r>
        <w:rPr>
          <w:rFonts w:hint="default" w:ascii="Times New Roman" w:hAnsi="Times New Roman" w:eastAsia="方正仿宋_GBK" w:cs="Times New Roman"/>
          <w:color w:val="auto"/>
          <w:sz w:val="28"/>
          <w:szCs w:val="28"/>
          <w:highlight w:val="none"/>
        </w:rPr>
        <w:t>报价</w:t>
      </w:r>
    </w:p>
    <w:p w14:paraId="503C253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各报价人的参选总报价为</w:t>
      </w:r>
      <w:r>
        <w:rPr>
          <w:rFonts w:hint="default" w:ascii="Times New Roman" w:hAnsi="Times New Roman" w:eastAsia="方正仿宋_GBK" w:cs="Times New Roman"/>
          <w:color w:val="auto"/>
          <w:sz w:val="28"/>
          <w:szCs w:val="28"/>
          <w:highlight w:val="none"/>
          <w:lang w:val="en-US" w:eastAsia="zh-CN"/>
        </w:rPr>
        <w:t>固定单价合同</w:t>
      </w:r>
      <w:r>
        <w:rPr>
          <w:rFonts w:hint="default" w:ascii="Times New Roman" w:hAnsi="Times New Roman" w:eastAsia="方正仿宋_GBK" w:cs="Times New Roman"/>
          <w:color w:val="auto"/>
          <w:sz w:val="28"/>
          <w:szCs w:val="28"/>
          <w:highlight w:val="none"/>
          <w:lang w:eastAsia="zh-CN"/>
        </w:rPr>
        <w:t>。</w:t>
      </w:r>
      <w:r>
        <w:rPr>
          <w:rFonts w:hint="default" w:ascii="Times New Roman" w:hAnsi="Times New Roman" w:eastAsia="方正仿宋_GBK" w:cs="Times New Roman"/>
          <w:color w:val="auto"/>
          <w:sz w:val="28"/>
          <w:szCs w:val="28"/>
          <w:highlight w:val="none"/>
        </w:rPr>
        <w:t>附件清单按</w:t>
      </w:r>
      <w:r>
        <w:rPr>
          <w:rFonts w:hint="default" w:ascii="Times New Roman" w:hAnsi="Times New Roman" w:eastAsia="方正仿宋_GBK" w:cs="Times New Roman"/>
          <w:color w:val="auto"/>
          <w:sz w:val="28"/>
          <w:szCs w:val="28"/>
          <w:highlight w:val="none"/>
          <w:lang w:eastAsia="zh-CN"/>
        </w:rPr>
        <w:t>比选人</w:t>
      </w:r>
      <w:r>
        <w:rPr>
          <w:rFonts w:hint="default" w:ascii="Times New Roman" w:hAnsi="Times New Roman" w:eastAsia="方正仿宋_GBK" w:cs="Times New Roman"/>
          <w:color w:val="auto"/>
          <w:sz w:val="28"/>
          <w:szCs w:val="28"/>
          <w:highlight w:val="none"/>
        </w:rPr>
        <w:t>提供的统一格式进行填报（附件清单中涉及的单位、数量以及暂列部分按</w:t>
      </w:r>
      <w:r>
        <w:rPr>
          <w:rFonts w:hint="default" w:ascii="Times New Roman" w:hAnsi="Times New Roman" w:eastAsia="方正仿宋_GBK" w:cs="Times New Roman"/>
          <w:color w:val="auto"/>
          <w:sz w:val="28"/>
          <w:szCs w:val="28"/>
          <w:highlight w:val="none"/>
          <w:lang w:eastAsia="zh-CN"/>
        </w:rPr>
        <w:t>比选人</w:t>
      </w:r>
      <w:r>
        <w:rPr>
          <w:rFonts w:hint="default" w:ascii="Times New Roman" w:hAnsi="Times New Roman" w:eastAsia="方正仿宋_GBK" w:cs="Times New Roman"/>
          <w:color w:val="auto"/>
          <w:sz w:val="28"/>
          <w:szCs w:val="28"/>
          <w:highlight w:val="none"/>
        </w:rPr>
        <w:t>列出的数据进行填报，各</w:t>
      </w:r>
      <w:r>
        <w:rPr>
          <w:rFonts w:hint="default" w:ascii="Times New Roman" w:hAnsi="Times New Roman" w:eastAsia="方正仿宋_GBK" w:cs="Times New Roman"/>
          <w:color w:val="auto"/>
          <w:sz w:val="28"/>
          <w:szCs w:val="28"/>
          <w:highlight w:val="none"/>
          <w:lang w:eastAsia="zh-CN"/>
        </w:rPr>
        <w:t>参选</w:t>
      </w:r>
      <w:r>
        <w:rPr>
          <w:rFonts w:hint="default" w:ascii="Times New Roman" w:hAnsi="Times New Roman" w:eastAsia="方正仿宋_GBK" w:cs="Times New Roman"/>
          <w:color w:val="auto"/>
          <w:sz w:val="28"/>
          <w:szCs w:val="28"/>
          <w:highlight w:val="none"/>
        </w:rPr>
        <w:t>人不得修改，否则按废标处理）。</w:t>
      </w:r>
    </w:p>
    <w:p w14:paraId="37933651">
      <w:pPr>
        <w:pStyle w:val="10"/>
        <w:keepNext w:val="0"/>
        <w:keepLines w:val="0"/>
        <w:pageBreakBefore w:val="0"/>
        <w:widowControl w:val="0"/>
        <w:kinsoku/>
        <w:wordWrap/>
        <w:overflowPunct/>
        <w:topLinePunct w:val="0"/>
        <w:autoSpaceDE/>
        <w:autoSpaceDN/>
        <w:bidi w:val="0"/>
        <w:adjustRightInd/>
        <w:snapToGrid/>
        <w:spacing w:before="28" w:line="500" w:lineRule="exact"/>
        <w:ind w:left="8" w:firstLine="560" w:firstLineChars="200"/>
        <w:textAlignment w:val="auto"/>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投标报价出现下列情形的，投标无效：</w:t>
      </w:r>
    </w:p>
    <w:p w14:paraId="6574E9E8">
      <w:pPr>
        <w:pStyle w:val="10"/>
        <w:keepNext w:val="0"/>
        <w:keepLines w:val="0"/>
        <w:pageBreakBefore w:val="0"/>
        <w:widowControl w:val="0"/>
        <w:kinsoku/>
        <w:wordWrap/>
        <w:overflowPunct/>
        <w:topLinePunct w:val="0"/>
        <w:autoSpaceDE/>
        <w:autoSpaceDN/>
        <w:bidi w:val="0"/>
        <w:adjustRightInd/>
        <w:snapToGrid/>
        <w:spacing w:before="26" w:line="500" w:lineRule="exact"/>
        <w:ind w:left="8" w:firstLine="560" w:firstLineChars="200"/>
        <w:textAlignment w:val="auto"/>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（1）投标文件出现不是唯一的、有选择性投标报价的；</w:t>
      </w:r>
    </w:p>
    <w:p w14:paraId="55A16D2C">
      <w:pPr>
        <w:pStyle w:val="10"/>
        <w:keepNext w:val="0"/>
        <w:keepLines w:val="0"/>
        <w:pageBreakBefore w:val="0"/>
        <w:widowControl w:val="0"/>
        <w:kinsoku/>
        <w:wordWrap/>
        <w:overflowPunct/>
        <w:topLinePunct w:val="0"/>
        <w:autoSpaceDE/>
        <w:autoSpaceDN/>
        <w:bidi w:val="0"/>
        <w:adjustRightInd/>
        <w:snapToGrid/>
        <w:spacing w:before="26" w:line="500" w:lineRule="exact"/>
        <w:ind w:left="8" w:firstLine="560" w:firstLineChars="200"/>
        <w:textAlignment w:val="auto"/>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（2）投标报价超过</w:t>
      </w:r>
      <w:r>
        <w:rPr>
          <w:rFonts w:hint="eastAsia" w:ascii="Times New Roman" w:hAnsi="Times New Roman" w:eastAsia="方正仿宋_GBK" w:cs="Times New Roman"/>
          <w:color w:val="auto"/>
          <w:kern w:val="2"/>
          <w:sz w:val="28"/>
          <w:szCs w:val="28"/>
          <w:highlight w:val="none"/>
          <w:lang w:val="en-US" w:eastAsia="zh-CN" w:bidi="ar-SA"/>
        </w:rPr>
        <w:t>比选</w:t>
      </w:r>
      <w:r>
        <w:rPr>
          <w:rFonts w:hint="default" w:ascii="Times New Roman" w:hAnsi="Times New Roman" w:eastAsia="方正仿宋_GBK" w:cs="Times New Roman"/>
          <w:color w:val="auto"/>
          <w:kern w:val="2"/>
          <w:sz w:val="28"/>
          <w:szCs w:val="28"/>
          <w:highlight w:val="none"/>
          <w:lang w:val="en-US" w:eastAsia="zh-CN" w:bidi="ar-SA"/>
        </w:rPr>
        <w:t>文件中规定的最高限价的</w:t>
      </w:r>
      <w:r>
        <w:rPr>
          <w:rFonts w:hint="eastAsia" w:ascii="Times New Roman" w:hAnsi="Times New Roman" w:eastAsia="方正仿宋_GBK" w:cs="Times New Roman"/>
          <w:color w:val="auto"/>
          <w:kern w:val="2"/>
          <w:sz w:val="28"/>
          <w:szCs w:val="28"/>
          <w:highlight w:val="none"/>
          <w:lang w:val="en-US" w:eastAsia="zh-CN" w:bidi="ar-SA"/>
        </w:rPr>
        <w:t>；</w:t>
      </w:r>
    </w:p>
    <w:p w14:paraId="13AE7DAB">
      <w:pPr>
        <w:pStyle w:val="10"/>
        <w:keepNext w:val="0"/>
        <w:keepLines w:val="0"/>
        <w:pageBreakBefore w:val="0"/>
        <w:widowControl w:val="0"/>
        <w:kinsoku/>
        <w:wordWrap/>
        <w:overflowPunct/>
        <w:topLinePunct w:val="0"/>
        <w:autoSpaceDE/>
        <w:autoSpaceDN/>
        <w:bidi w:val="0"/>
        <w:adjustRightInd/>
        <w:snapToGrid/>
        <w:spacing w:before="28" w:line="500" w:lineRule="exact"/>
        <w:ind w:right="2" w:firstLine="560" w:firstLineChars="200"/>
        <w:jc w:val="both"/>
        <w:textAlignment w:val="auto"/>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（3）报价明显低于其他通过符合性审查投标人的报价，有可能影响产品质量或者不能诚信履约的，未能按要求提供书面说明或者提交相关证明材料证明其报价合理性的</w:t>
      </w:r>
      <w:r>
        <w:rPr>
          <w:rFonts w:hint="eastAsia" w:ascii="Times New Roman" w:hAnsi="Times New Roman" w:eastAsia="方正仿宋_GBK" w:cs="Times New Roman"/>
          <w:color w:val="auto"/>
          <w:kern w:val="2"/>
          <w:sz w:val="28"/>
          <w:szCs w:val="28"/>
          <w:highlight w:val="none"/>
          <w:lang w:val="en-US" w:eastAsia="zh-CN" w:bidi="ar-SA"/>
        </w:rPr>
        <w:t>；</w:t>
      </w:r>
    </w:p>
    <w:p w14:paraId="5309FA3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（4）投标人对根据修正原则修正后的报价不确认的。</w:t>
      </w:r>
    </w:p>
    <w:p w14:paraId="1EEA50A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kern w:val="2"/>
          <w:sz w:val="28"/>
          <w:szCs w:val="28"/>
          <w:highlight w:val="none"/>
          <w:lang w:val="en-US" w:eastAsia="zh-CN" w:bidi="ar-SA"/>
        </w:rPr>
      </w:pPr>
      <w:r>
        <w:rPr>
          <w:rFonts w:hint="default" w:ascii="Times New Roman" w:hAnsi="Times New Roman" w:eastAsia="方正仿宋_GBK" w:cs="Times New Roman"/>
          <w:color w:val="auto"/>
          <w:kern w:val="2"/>
          <w:sz w:val="28"/>
          <w:szCs w:val="28"/>
          <w:highlight w:val="none"/>
          <w:lang w:val="en-US" w:eastAsia="zh-CN" w:bidi="ar-SA"/>
        </w:rPr>
        <w:t>3、</w:t>
      </w:r>
      <w:r>
        <w:rPr>
          <w:rFonts w:hint="eastAsia" w:ascii="Times New Roman" w:hAnsi="Times New Roman" w:eastAsia="方正仿宋_GBK" w:cs="Times New Roman"/>
          <w:b w:val="0"/>
          <w:bCs w:val="0"/>
          <w:color w:val="auto"/>
          <w:sz w:val="28"/>
          <w:szCs w:val="28"/>
          <w:highlight w:val="none"/>
          <w:lang w:val="en-US" w:eastAsia="zh-CN"/>
        </w:rPr>
        <w:t>阿依河接待中心舞台频显系统提升工程</w:t>
      </w:r>
      <w:r>
        <w:rPr>
          <w:rFonts w:hint="eastAsia" w:ascii="Times New Roman" w:hAnsi="Times New Roman" w:eastAsia="方正仿宋_GBK" w:cs="Times New Roman"/>
          <w:color w:val="auto"/>
          <w:sz w:val="28"/>
          <w:szCs w:val="28"/>
          <w:highlight w:val="none"/>
          <w:lang w:val="en-US" w:eastAsia="zh-CN"/>
        </w:rPr>
        <w:t>总价</w:t>
      </w:r>
      <w:r>
        <w:rPr>
          <w:rFonts w:hint="default" w:ascii="Times New Roman" w:hAnsi="Times New Roman" w:eastAsia="方正仿宋_GBK" w:cs="Times New Roman"/>
          <w:color w:val="auto"/>
          <w:kern w:val="2"/>
          <w:sz w:val="28"/>
          <w:szCs w:val="28"/>
          <w:highlight w:val="none"/>
          <w:lang w:val="en-US" w:eastAsia="zh-CN" w:bidi="ar-SA"/>
        </w:rPr>
        <w:t>最高限价</w:t>
      </w:r>
      <w:r>
        <w:rPr>
          <w:rFonts w:hint="eastAsia" w:ascii="Times New Roman" w:hAnsi="Times New Roman" w:eastAsia="方正仿宋_GBK" w:cs="Times New Roman"/>
          <w:b w:val="0"/>
          <w:bCs w:val="0"/>
          <w:color w:val="auto"/>
          <w:sz w:val="28"/>
          <w:szCs w:val="28"/>
          <w:highlight w:val="none"/>
          <w:lang w:val="en-US" w:eastAsia="zh-CN"/>
        </w:rPr>
        <w:t>378190.98</w:t>
      </w:r>
      <w:r>
        <w:rPr>
          <w:rFonts w:hint="default" w:ascii="Times New Roman" w:hAnsi="Times New Roman" w:eastAsia="方正仿宋_GBK" w:cs="Times New Roman"/>
          <w:color w:val="auto"/>
          <w:kern w:val="2"/>
          <w:sz w:val="28"/>
          <w:szCs w:val="28"/>
          <w:highlight w:val="none"/>
          <w:lang w:val="en-US" w:eastAsia="zh-CN" w:bidi="ar-SA"/>
        </w:rPr>
        <w:t>元，具体详见附件《</w:t>
      </w:r>
      <w:r>
        <w:rPr>
          <w:rFonts w:hint="eastAsia" w:ascii="Times New Roman" w:hAnsi="Times New Roman" w:eastAsia="方正仿宋_GBK" w:cs="Times New Roman"/>
          <w:b w:val="0"/>
          <w:bCs w:val="0"/>
          <w:color w:val="auto"/>
          <w:sz w:val="28"/>
          <w:szCs w:val="28"/>
          <w:highlight w:val="none"/>
          <w:lang w:val="en-US" w:eastAsia="zh-CN"/>
        </w:rPr>
        <w:t>阿依河接待中心舞台频显系统提升工程招标</w:t>
      </w:r>
      <w:r>
        <w:rPr>
          <w:rFonts w:hint="default" w:ascii="Times New Roman" w:hAnsi="Times New Roman" w:eastAsia="方正仿宋_GBK" w:cs="Times New Roman"/>
          <w:color w:val="auto"/>
          <w:kern w:val="2"/>
          <w:sz w:val="28"/>
          <w:szCs w:val="28"/>
          <w:highlight w:val="none"/>
          <w:lang w:val="en-US" w:eastAsia="zh-CN" w:bidi="ar-SA"/>
        </w:rPr>
        <w:t>工程量清单及</w:t>
      </w:r>
      <w:r>
        <w:rPr>
          <w:rFonts w:hint="eastAsia" w:ascii="Times New Roman" w:hAnsi="Times New Roman" w:eastAsia="方正仿宋_GBK" w:cs="Times New Roman"/>
          <w:b w:val="0"/>
          <w:bCs w:val="0"/>
          <w:color w:val="auto"/>
          <w:sz w:val="28"/>
          <w:szCs w:val="28"/>
          <w:highlight w:val="none"/>
          <w:lang w:val="en-US" w:eastAsia="zh-CN"/>
        </w:rPr>
        <w:t>阿依河接待中心舞台频显系统提升工程</w:t>
      </w:r>
      <w:r>
        <w:rPr>
          <w:rFonts w:hint="default" w:ascii="Times New Roman" w:hAnsi="Times New Roman" w:eastAsia="方正仿宋_GBK" w:cs="Times New Roman"/>
          <w:color w:val="auto"/>
          <w:kern w:val="2"/>
          <w:sz w:val="28"/>
          <w:szCs w:val="28"/>
          <w:highlight w:val="none"/>
          <w:lang w:val="en-US" w:eastAsia="zh-CN" w:bidi="ar-SA"/>
        </w:rPr>
        <w:t>最高限价表》</w:t>
      </w:r>
      <w:r>
        <w:rPr>
          <w:rFonts w:hint="eastAsia" w:ascii="Times New Roman" w:hAnsi="Times New Roman" w:eastAsia="方正仿宋_GBK" w:cs="Times New Roman"/>
          <w:color w:val="auto"/>
          <w:kern w:val="2"/>
          <w:sz w:val="28"/>
          <w:szCs w:val="28"/>
          <w:highlight w:val="none"/>
          <w:lang w:val="en-US" w:eastAsia="zh-CN" w:bidi="ar-SA"/>
        </w:rPr>
        <w:t>。</w:t>
      </w:r>
      <w:r>
        <w:rPr>
          <w:rFonts w:hint="default" w:ascii="Times New Roman" w:hAnsi="Times New Roman" w:eastAsia="方正仿宋_GBK" w:cs="Times New Roman"/>
          <w:color w:val="auto"/>
          <w:kern w:val="2"/>
          <w:sz w:val="28"/>
          <w:szCs w:val="28"/>
          <w:highlight w:val="none"/>
          <w:lang w:val="en-US" w:eastAsia="zh-CN" w:bidi="ar-SA"/>
        </w:rPr>
        <w:t>各参选单位</w:t>
      </w:r>
      <w:r>
        <w:rPr>
          <w:rFonts w:hint="eastAsia" w:ascii="Times New Roman" w:hAnsi="Times New Roman" w:eastAsia="方正仿宋_GBK" w:cs="Times New Roman"/>
          <w:color w:val="auto"/>
          <w:kern w:val="2"/>
          <w:sz w:val="28"/>
          <w:szCs w:val="28"/>
          <w:highlight w:val="none"/>
          <w:lang w:val="en-US" w:eastAsia="zh-CN" w:bidi="ar-SA"/>
        </w:rPr>
        <w:t>总</w:t>
      </w:r>
      <w:r>
        <w:rPr>
          <w:rFonts w:hint="default" w:ascii="Times New Roman" w:hAnsi="Times New Roman" w:eastAsia="方正仿宋_GBK" w:cs="Times New Roman"/>
          <w:color w:val="auto"/>
          <w:kern w:val="2"/>
          <w:sz w:val="28"/>
          <w:szCs w:val="28"/>
          <w:highlight w:val="none"/>
          <w:lang w:val="en-US" w:eastAsia="zh-CN" w:bidi="ar-SA"/>
        </w:rPr>
        <w:t>报价不得高于</w:t>
      </w:r>
      <w:r>
        <w:rPr>
          <w:rFonts w:hint="eastAsia" w:ascii="Times New Roman" w:hAnsi="Times New Roman" w:eastAsia="方正仿宋_GBK" w:cs="Times New Roman"/>
          <w:color w:val="auto"/>
          <w:sz w:val="28"/>
          <w:szCs w:val="28"/>
          <w:highlight w:val="none"/>
          <w:lang w:val="en-US" w:eastAsia="zh-CN"/>
        </w:rPr>
        <w:t>总价</w:t>
      </w:r>
      <w:r>
        <w:rPr>
          <w:rFonts w:hint="default" w:ascii="Times New Roman" w:hAnsi="Times New Roman" w:eastAsia="方正仿宋_GBK" w:cs="Times New Roman"/>
          <w:color w:val="auto"/>
          <w:kern w:val="2"/>
          <w:sz w:val="28"/>
          <w:szCs w:val="28"/>
          <w:highlight w:val="none"/>
          <w:lang w:val="en-US" w:eastAsia="zh-CN" w:bidi="ar-SA"/>
        </w:rPr>
        <w:t>最高限价，若超出</w:t>
      </w:r>
      <w:r>
        <w:rPr>
          <w:rFonts w:hint="eastAsia" w:ascii="Times New Roman" w:hAnsi="Times New Roman" w:eastAsia="方正仿宋_GBK" w:cs="Times New Roman"/>
          <w:color w:val="auto"/>
          <w:sz w:val="28"/>
          <w:szCs w:val="28"/>
          <w:highlight w:val="none"/>
          <w:lang w:val="en-US" w:eastAsia="zh-CN"/>
        </w:rPr>
        <w:t>总价</w:t>
      </w:r>
      <w:r>
        <w:rPr>
          <w:rFonts w:hint="default" w:ascii="Times New Roman" w:hAnsi="Times New Roman" w:eastAsia="方正仿宋_GBK" w:cs="Times New Roman"/>
          <w:color w:val="auto"/>
          <w:kern w:val="2"/>
          <w:sz w:val="28"/>
          <w:szCs w:val="28"/>
          <w:highlight w:val="none"/>
          <w:lang w:val="en-US" w:eastAsia="zh-CN" w:bidi="ar-SA"/>
        </w:rPr>
        <w:t>最高限价将作为无效报价处理，失去参选资格。</w:t>
      </w:r>
    </w:p>
    <w:p w14:paraId="24B1AC0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本项目设置单价最高限价，参选人的每项单价报价不得超过每项单价最高限价，否则</w:t>
      </w:r>
      <w:r>
        <w:rPr>
          <w:rFonts w:hint="default" w:ascii="Times New Roman" w:hAnsi="Times New Roman" w:eastAsia="方正仿宋_GBK" w:cs="Times New Roman"/>
          <w:color w:val="auto"/>
          <w:kern w:val="2"/>
          <w:sz w:val="28"/>
          <w:szCs w:val="28"/>
          <w:highlight w:val="none"/>
          <w:lang w:val="en-US" w:eastAsia="zh-CN" w:bidi="ar-SA"/>
        </w:rPr>
        <w:t>作为无效报价处理，失去参选资格。</w:t>
      </w:r>
    </w:p>
    <w:p w14:paraId="029790C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4、参选文件组成</w:t>
      </w:r>
    </w:p>
    <w:p w14:paraId="60ADE5B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eastAsia="zh-CN"/>
        </w:rPr>
        <w:t>参选文件由参选函、参选函附录、</w:t>
      </w:r>
      <w:r>
        <w:rPr>
          <w:rFonts w:hint="eastAsia" w:ascii="Times New Roman" w:hAnsi="Times New Roman" w:eastAsia="方正仿宋_GBK" w:cs="Times New Roman"/>
          <w:color w:val="auto"/>
          <w:sz w:val="28"/>
          <w:szCs w:val="28"/>
          <w:highlight w:val="none"/>
          <w:lang w:val="en-US" w:eastAsia="zh-CN"/>
        </w:rPr>
        <w:t>法定代表人身份证明、法定代表人授权委托书、</w:t>
      </w:r>
      <w:r>
        <w:rPr>
          <w:rFonts w:hint="eastAsia" w:ascii="Times New Roman" w:hAnsi="Times New Roman" w:eastAsia="方正仿宋_GBK" w:cs="Times New Roman"/>
          <w:b w:val="0"/>
          <w:bCs w:val="0"/>
          <w:color w:val="auto"/>
          <w:sz w:val="28"/>
          <w:szCs w:val="28"/>
          <w:highlight w:val="none"/>
          <w:lang w:val="en-US" w:eastAsia="zh-CN"/>
        </w:rPr>
        <w:t>阿依河接待中心舞台频显系统提升工程</w:t>
      </w:r>
      <w:r>
        <w:rPr>
          <w:rFonts w:hint="default" w:ascii="Times New Roman" w:hAnsi="Times New Roman" w:eastAsia="方正仿宋_GBK" w:cs="Times New Roman"/>
          <w:color w:val="auto"/>
          <w:sz w:val="28"/>
          <w:szCs w:val="28"/>
          <w:highlight w:val="none"/>
        </w:rPr>
        <w:t>报价</w:t>
      </w:r>
      <w:r>
        <w:rPr>
          <w:rFonts w:hint="eastAsia" w:ascii="Times New Roman" w:hAnsi="Times New Roman" w:eastAsia="方正仿宋_GBK" w:cs="Times New Roman"/>
          <w:color w:val="auto"/>
          <w:sz w:val="28"/>
          <w:szCs w:val="28"/>
          <w:highlight w:val="none"/>
          <w:lang w:val="en-US" w:eastAsia="zh-CN"/>
        </w:rPr>
        <w:t>表</w:t>
      </w:r>
      <w:r>
        <w:rPr>
          <w:rFonts w:hint="default" w:ascii="Times New Roman" w:hAnsi="Times New Roman" w:eastAsia="方正仿宋_GBK" w:cs="Times New Roman"/>
          <w:color w:val="auto"/>
          <w:sz w:val="28"/>
          <w:szCs w:val="28"/>
          <w:highlight w:val="none"/>
        </w:rPr>
        <w:t>、</w:t>
      </w:r>
      <w:r>
        <w:rPr>
          <w:rFonts w:hint="default" w:ascii="Times New Roman" w:hAnsi="Times New Roman" w:eastAsia="方正仿宋_GBK" w:cs="Times New Roman"/>
          <w:color w:val="auto"/>
          <w:sz w:val="28"/>
          <w:szCs w:val="28"/>
          <w:highlight w:val="none"/>
          <w:lang w:val="en-US" w:eastAsia="zh-CN"/>
        </w:rPr>
        <w:t>营业执照</w:t>
      </w:r>
      <w:r>
        <w:rPr>
          <w:rFonts w:hint="eastAsia" w:ascii="Times New Roman" w:hAnsi="Times New Roman" w:eastAsia="方正仿宋_GBK" w:cs="Times New Roman"/>
          <w:color w:val="auto"/>
          <w:sz w:val="28"/>
          <w:szCs w:val="28"/>
          <w:highlight w:val="none"/>
          <w:lang w:val="en-US" w:eastAsia="zh-CN"/>
        </w:rPr>
        <w:t>、资质证书、安全生产许可证、诚信声明、参选技术方案</w:t>
      </w:r>
      <w:r>
        <w:rPr>
          <w:rFonts w:hint="default" w:ascii="Times New Roman" w:hAnsi="Times New Roman" w:eastAsia="方正仿宋_GBK" w:cs="Times New Roman"/>
          <w:color w:val="auto"/>
          <w:sz w:val="28"/>
          <w:szCs w:val="28"/>
          <w:highlight w:val="none"/>
          <w:lang w:eastAsia="zh-CN"/>
        </w:rPr>
        <w:t>等其他材料组成，以上所有资料必须</w:t>
      </w:r>
      <w:r>
        <w:rPr>
          <w:rFonts w:hint="default" w:ascii="Times New Roman" w:hAnsi="Times New Roman" w:eastAsia="方正仿宋_GBK" w:cs="Times New Roman"/>
          <w:color w:val="auto"/>
          <w:sz w:val="28"/>
          <w:szCs w:val="28"/>
          <w:highlight w:val="none"/>
          <w:lang w:val="en-US" w:eastAsia="zh-CN"/>
        </w:rPr>
        <w:t>按要求</w:t>
      </w:r>
      <w:r>
        <w:rPr>
          <w:rFonts w:hint="default" w:ascii="Times New Roman" w:hAnsi="Times New Roman" w:eastAsia="方正仿宋_GBK" w:cs="Times New Roman"/>
          <w:color w:val="auto"/>
          <w:sz w:val="28"/>
          <w:szCs w:val="28"/>
          <w:highlight w:val="none"/>
          <w:lang w:eastAsia="zh-CN"/>
        </w:rPr>
        <w:t>加盖参选人鲜章。</w:t>
      </w:r>
    </w:p>
    <w:p w14:paraId="10150CE4">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5、参选文件的编制</w:t>
      </w:r>
    </w:p>
    <w:p w14:paraId="3AD3B63D">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1）参选文件应按“参选文件格式要求”进行编写，如有必要，可以增加附页，作为参选文件的组成部分。其中，参选函附录在满足竞价比选文件实质性要求的基础上，可以提出比比选文件要求更有利于比选人的承诺。</w:t>
      </w:r>
    </w:p>
    <w:p w14:paraId="1E725E8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2）参选文件应用不褪色的材料书写或打印，并按要求由参选人的法定代表人或其委托代理人签字或盖章、盖单位章。委托代理人签字或盖章的，参选文件应附法定代表人签署的授权委托书。参选文件应尽量避免涂改、行间插字或删除。如果出现上述情况，改动之处应加盖单</w:t>
      </w:r>
      <w:r>
        <w:rPr>
          <w:rFonts w:hint="eastAsia" w:ascii="Times New Roman" w:hAnsi="Times New Roman" w:eastAsia="方正仿宋_GBK" w:cs="Times New Roman"/>
          <w:color w:val="auto"/>
          <w:sz w:val="28"/>
          <w:szCs w:val="28"/>
          <w:highlight w:val="none"/>
          <w:lang w:val="en-US" w:eastAsia="zh-CN"/>
        </w:rPr>
        <w:t>位公</w:t>
      </w:r>
      <w:r>
        <w:rPr>
          <w:rFonts w:hint="default" w:ascii="Times New Roman" w:hAnsi="Times New Roman" w:eastAsia="方正仿宋_GBK" w:cs="Times New Roman"/>
          <w:color w:val="auto"/>
          <w:sz w:val="28"/>
          <w:szCs w:val="28"/>
          <w:highlight w:val="none"/>
          <w:lang w:val="en-US" w:eastAsia="zh-CN"/>
        </w:rPr>
        <w:t>章或由参选人的法定代表人或其授权的代理人签字确认。</w:t>
      </w:r>
    </w:p>
    <w:p w14:paraId="0AEB1A1A">
      <w:pPr>
        <w:pStyle w:val="2"/>
        <w:keepNext w:val="0"/>
        <w:keepLines w:val="0"/>
        <w:pageBreakBefore w:val="0"/>
        <w:widowControl w:val="0"/>
        <w:kinsoku/>
        <w:wordWrap/>
        <w:overflowPunct/>
        <w:topLinePunct w:val="0"/>
        <w:autoSpaceDE/>
        <w:autoSpaceDN/>
        <w:bidi w:val="0"/>
        <w:adjustRightInd/>
        <w:snapToGrid w:val="0"/>
        <w:ind w:firstLine="560" w:firstLineChars="200"/>
        <w:jc w:val="left"/>
        <w:textAlignment w:val="auto"/>
        <w:rPr>
          <w:rFonts w:hint="default" w:ascii="Times New Roman" w:hAnsi="Times New Roman" w:eastAsia="方正仿宋_GBK" w:cs="Times New Roman"/>
          <w:b w:val="0"/>
          <w:bCs w:val="0"/>
          <w:color w:val="auto"/>
          <w:kern w:val="2"/>
          <w:sz w:val="28"/>
          <w:szCs w:val="28"/>
          <w:highlight w:val="none"/>
          <w:lang w:val="en-US" w:eastAsia="zh-CN" w:bidi="ar-SA"/>
        </w:rPr>
      </w:pPr>
      <w:r>
        <w:rPr>
          <w:rFonts w:hint="eastAsia" w:ascii="Times New Roman" w:hAnsi="Times New Roman" w:eastAsia="方正仿宋_GBK" w:cs="Times New Roman"/>
          <w:b w:val="0"/>
          <w:bCs w:val="0"/>
          <w:color w:val="auto"/>
          <w:kern w:val="2"/>
          <w:sz w:val="28"/>
          <w:szCs w:val="28"/>
          <w:highlight w:val="none"/>
          <w:lang w:val="en-US" w:eastAsia="zh-CN" w:bidi="ar-SA"/>
        </w:rPr>
        <w:t>（3）本次比选的参选人按照下列要求编制参选技术方案：该项目参选人须对项目现状进行初步勘测、调查、评估（参选人自行组织踏勘调研），对本次参选项目所涉及内容有基础了解，综合项目现状编制参选技术方案，内容包括但不限于：一是对对阿依河景区原老化屏的拆除，主屏、耳屏、底屏采购及安装、配套系统调试等的设置提出布局思路、所达到的效果，以及技术服务工作大纲。二是在工程施作方面需要提供施工方案。格式自拟。</w:t>
      </w:r>
    </w:p>
    <w:p w14:paraId="6A57EC6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w:t>
      </w:r>
      <w:r>
        <w:rPr>
          <w:rFonts w:hint="eastAsia" w:ascii="Times New Roman" w:hAnsi="Times New Roman" w:eastAsia="方正仿宋_GBK" w:cs="Times New Roman"/>
          <w:color w:val="auto"/>
          <w:sz w:val="28"/>
          <w:szCs w:val="28"/>
          <w:highlight w:val="none"/>
          <w:lang w:val="en-US" w:eastAsia="zh-CN"/>
        </w:rPr>
        <w:t>4</w:t>
      </w:r>
      <w:r>
        <w:rPr>
          <w:rFonts w:hint="default" w:ascii="Times New Roman" w:hAnsi="Times New Roman" w:eastAsia="方正仿宋_GBK" w:cs="Times New Roman"/>
          <w:color w:val="auto"/>
          <w:sz w:val="28"/>
          <w:szCs w:val="28"/>
          <w:highlight w:val="none"/>
          <w:lang w:val="en-US" w:eastAsia="zh-CN"/>
        </w:rPr>
        <w:t>）参选文件应按顺序装订成册，并编制目录。</w:t>
      </w:r>
    </w:p>
    <w:p w14:paraId="12DE05B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6、参选文件的密封和标记</w:t>
      </w:r>
    </w:p>
    <w:p w14:paraId="16DAB380">
      <w:pPr>
        <w:snapToGrid w:val="0"/>
        <w:spacing w:line="400" w:lineRule="exact"/>
        <w:ind w:firstLine="560" w:firstLineChars="200"/>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本项目参选文件由参选人自行密封，</w:t>
      </w:r>
      <w:r>
        <w:rPr>
          <w:rFonts w:hint="eastAsia" w:ascii="Times New Roman" w:hAnsi="Times New Roman" w:eastAsia="方正仿宋_GBK" w:cs="Times New Roman"/>
          <w:color w:val="auto"/>
          <w:sz w:val="28"/>
          <w:szCs w:val="28"/>
          <w:highlight w:val="none"/>
          <w:lang w:val="en-US" w:eastAsia="zh-CN"/>
        </w:rPr>
        <w:t>并在封口处加盖参选人单位公章，</w:t>
      </w:r>
      <w:r>
        <w:rPr>
          <w:rFonts w:hint="default" w:ascii="Times New Roman" w:hAnsi="Times New Roman" w:eastAsia="方正仿宋_GBK" w:cs="Times New Roman"/>
          <w:color w:val="auto"/>
          <w:sz w:val="28"/>
          <w:szCs w:val="28"/>
          <w:highlight w:val="none"/>
          <w:lang w:val="en-US" w:eastAsia="zh-CN"/>
        </w:rPr>
        <w:t>密封后在封面上注明“</w:t>
      </w:r>
      <w:r>
        <w:rPr>
          <w:rFonts w:hint="eastAsia" w:ascii="Times New Roman" w:hAnsi="Times New Roman" w:eastAsia="方正仿宋_GBK" w:cs="Times New Roman"/>
          <w:b w:val="0"/>
          <w:bCs w:val="0"/>
          <w:color w:val="auto"/>
          <w:sz w:val="28"/>
          <w:szCs w:val="28"/>
          <w:highlight w:val="none"/>
          <w:lang w:val="en-US" w:eastAsia="zh-CN"/>
        </w:rPr>
        <w:t>阿依河接待中心舞台频显系统提升工程</w:t>
      </w:r>
      <w:r>
        <w:rPr>
          <w:rFonts w:hint="default" w:ascii="Times New Roman" w:hAnsi="Times New Roman" w:eastAsia="方正仿宋_GBK" w:cs="Times New Roman"/>
          <w:color w:val="auto"/>
          <w:sz w:val="28"/>
          <w:szCs w:val="28"/>
          <w:highlight w:val="none"/>
          <w:lang w:val="en-US" w:eastAsia="zh-CN"/>
        </w:rPr>
        <w:t>”，并加盖参选人</w:t>
      </w:r>
      <w:r>
        <w:rPr>
          <w:rFonts w:hint="eastAsia" w:ascii="Times New Roman" w:hAnsi="Times New Roman" w:eastAsia="方正仿宋_GBK" w:cs="Times New Roman"/>
          <w:color w:val="auto"/>
          <w:sz w:val="28"/>
          <w:szCs w:val="28"/>
          <w:highlight w:val="none"/>
          <w:lang w:val="en-US" w:eastAsia="zh-CN"/>
        </w:rPr>
        <w:t>单位</w:t>
      </w:r>
      <w:r>
        <w:rPr>
          <w:rFonts w:hint="default" w:ascii="Times New Roman" w:hAnsi="Times New Roman" w:eastAsia="方正仿宋_GBK" w:cs="Times New Roman"/>
          <w:color w:val="auto"/>
          <w:sz w:val="28"/>
          <w:szCs w:val="28"/>
          <w:highlight w:val="none"/>
          <w:lang w:val="en-US" w:eastAsia="zh-CN"/>
        </w:rPr>
        <w:t>公章。</w:t>
      </w:r>
    </w:p>
    <w:p w14:paraId="2837A41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黑体_GBK" w:cs="Times New Roman"/>
          <w:color w:val="auto"/>
          <w:sz w:val="28"/>
          <w:szCs w:val="28"/>
          <w:highlight w:val="none"/>
          <w:lang w:val="en-US" w:eastAsia="zh-CN"/>
        </w:rPr>
      </w:pPr>
      <w:r>
        <w:rPr>
          <w:rFonts w:hint="eastAsia" w:ascii="Times New Roman" w:hAnsi="Times New Roman" w:eastAsia="方正黑体_GBK" w:cs="Times New Roman"/>
          <w:color w:val="auto"/>
          <w:sz w:val="28"/>
          <w:szCs w:val="28"/>
          <w:highlight w:val="none"/>
          <w:lang w:val="en-US" w:eastAsia="zh-CN"/>
        </w:rPr>
        <w:t>七</w:t>
      </w:r>
      <w:r>
        <w:rPr>
          <w:rFonts w:hint="default" w:ascii="Times New Roman" w:hAnsi="Times New Roman" w:eastAsia="方正黑体_GBK" w:cs="Times New Roman"/>
          <w:color w:val="auto"/>
          <w:sz w:val="28"/>
          <w:szCs w:val="28"/>
          <w:highlight w:val="none"/>
          <w:lang w:val="en-US" w:eastAsia="zh-CN"/>
        </w:rPr>
        <w:t>、比选办法及结果</w:t>
      </w:r>
    </w:p>
    <w:p w14:paraId="50EFF81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1、初步评审</w:t>
      </w:r>
    </w:p>
    <w:tbl>
      <w:tblPr>
        <w:tblStyle w:val="6"/>
        <w:tblW w:w="9470"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994"/>
        <w:gridCol w:w="992"/>
        <w:gridCol w:w="1690"/>
        <w:gridCol w:w="5794"/>
      </w:tblGrid>
      <w:tr w14:paraId="0C161A7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986" w:type="dxa"/>
            <w:gridSpan w:val="2"/>
            <w:noWrap w:val="0"/>
            <w:vAlign w:val="center"/>
          </w:tcPr>
          <w:p w14:paraId="252CCFCE">
            <w:pPr>
              <w:keepNext w:val="0"/>
              <w:keepLines w:val="0"/>
              <w:pageBreakBefore w:val="0"/>
              <w:kinsoku/>
              <w:wordWrap/>
              <w:overflowPunct/>
              <w:topLinePunct w:val="0"/>
              <w:bidi w:val="0"/>
              <w:adjustRightInd/>
              <w:snapToGrid/>
              <w:spacing w:line="400" w:lineRule="exact"/>
              <w:jc w:val="center"/>
              <w:textAlignment w:val="auto"/>
              <w:rPr>
                <w:rFonts w:ascii="宋体" w:hAnsi="宋体"/>
                <w:b/>
                <w:kern w:val="0"/>
                <w:highlight w:val="none"/>
              </w:rPr>
            </w:pPr>
            <w:r>
              <w:rPr>
                <w:rFonts w:ascii="宋体" w:hAnsi="宋体"/>
                <w:b/>
                <w:kern w:val="0"/>
                <w:highlight w:val="none"/>
              </w:rPr>
              <w:t>条款号</w:t>
            </w:r>
          </w:p>
        </w:tc>
        <w:tc>
          <w:tcPr>
            <w:tcW w:w="1690" w:type="dxa"/>
            <w:noWrap w:val="0"/>
            <w:vAlign w:val="center"/>
          </w:tcPr>
          <w:p w14:paraId="659A59BE">
            <w:pPr>
              <w:keepNext w:val="0"/>
              <w:keepLines w:val="0"/>
              <w:pageBreakBefore w:val="0"/>
              <w:kinsoku/>
              <w:wordWrap/>
              <w:overflowPunct/>
              <w:topLinePunct w:val="0"/>
              <w:bidi w:val="0"/>
              <w:adjustRightInd/>
              <w:snapToGrid/>
              <w:spacing w:line="400" w:lineRule="exact"/>
              <w:jc w:val="center"/>
              <w:textAlignment w:val="auto"/>
              <w:rPr>
                <w:rFonts w:ascii="宋体" w:hAnsi="宋体"/>
                <w:b/>
                <w:kern w:val="0"/>
                <w:highlight w:val="none"/>
              </w:rPr>
            </w:pPr>
            <w:r>
              <w:rPr>
                <w:rFonts w:ascii="宋体" w:hAnsi="宋体"/>
                <w:b/>
                <w:kern w:val="0"/>
                <w:highlight w:val="none"/>
              </w:rPr>
              <w:t>评审因素</w:t>
            </w:r>
          </w:p>
        </w:tc>
        <w:tc>
          <w:tcPr>
            <w:tcW w:w="5794" w:type="dxa"/>
            <w:noWrap w:val="0"/>
            <w:vAlign w:val="center"/>
          </w:tcPr>
          <w:p w14:paraId="22290D47">
            <w:pPr>
              <w:keepNext w:val="0"/>
              <w:keepLines w:val="0"/>
              <w:pageBreakBefore w:val="0"/>
              <w:kinsoku/>
              <w:wordWrap/>
              <w:overflowPunct/>
              <w:topLinePunct w:val="0"/>
              <w:bidi w:val="0"/>
              <w:adjustRightInd/>
              <w:snapToGrid/>
              <w:spacing w:line="400" w:lineRule="exact"/>
              <w:jc w:val="center"/>
              <w:textAlignment w:val="auto"/>
              <w:rPr>
                <w:rFonts w:ascii="宋体" w:hAnsi="宋体"/>
                <w:b/>
                <w:kern w:val="0"/>
                <w:highlight w:val="none"/>
              </w:rPr>
            </w:pPr>
            <w:r>
              <w:rPr>
                <w:rFonts w:ascii="宋体" w:hAnsi="宋体"/>
                <w:b/>
                <w:kern w:val="0"/>
                <w:highlight w:val="none"/>
              </w:rPr>
              <w:t>评审标准</w:t>
            </w:r>
          </w:p>
        </w:tc>
      </w:tr>
      <w:tr w14:paraId="44A7E41D">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986" w:type="dxa"/>
            <w:gridSpan w:val="2"/>
            <w:noWrap w:val="0"/>
            <w:vAlign w:val="center"/>
          </w:tcPr>
          <w:p w14:paraId="07609BDD">
            <w:pPr>
              <w:keepNext w:val="0"/>
              <w:keepLines w:val="0"/>
              <w:pageBreakBefore w:val="0"/>
              <w:kinsoku/>
              <w:wordWrap/>
              <w:overflowPunct/>
              <w:topLinePunct w:val="0"/>
              <w:bidi w:val="0"/>
              <w:adjustRightInd/>
              <w:snapToGrid/>
              <w:spacing w:line="400" w:lineRule="exact"/>
              <w:jc w:val="center"/>
              <w:textAlignment w:val="auto"/>
              <w:rPr>
                <w:rFonts w:ascii="宋体" w:hAnsi="宋体"/>
                <w:kern w:val="0"/>
                <w:highlight w:val="none"/>
              </w:rPr>
            </w:pPr>
            <w:r>
              <w:rPr>
                <w:rFonts w:hint="eastAsia" w:ascii="宋体" w:hAnsi="宋体"/>
                <w:kern w:val="0"/>
                <w:highlight w:val="none"/>
              </w:rPr>
              <w:t>1</w:t>
            </w:r>
          </w:p>
        </w:tc>
        <w:tc>
          <w:tcPr>
            <w:tcW w:w="1690" w:type="dxa"/>
            <w:noWrap w:val="0"/>
            <w:vAlign w:val="center"/>
          </w:tcPr>
          <w:p w14:paraId="25909E16">
            <w:pPr>
              <w:keepNext w:val="0"/>
              <w:keepLines w:val="0"/>
              <w:pageBreakBefore w:val="0"/>
              <w:kinsoku/>
              <w:wordWrap/>
              <w:overflowPunct/>
              <w:topLinePunct w:val="0"/>
              <w:bidi w:val="0"/>
              <w:adjustRightInd/>
              <w:snapToGrid/>
              <w:spacing w:line="400" w:lineRule="exact"/>
              <w:jc w:val="center"/>
              <w:textAlignment w:val="auto"/>
              <w:rPr>
                <w:rFonts w:ascii="宋体" w:hAnsi="宋体"/>
                <w:kern w:val="0"/>
                <w:highlight w:val="none"/>
              </w:rPr>
            </w:pPr>
            <w:r>
              <w:rPr>
                <w:rFonts w:ascii="宋体" w:hAnsi="宋体"/>
                <w:kern w:val="0"/>
                <w:highlight w:val="none"/>
              </w:rPr>
              <w:t>评标办法</w:t>
            </w:r>
          </w:p>
        </w:tc>
        <w:tc>
          <w:tcPr>
            <w:tcW w:w="5794" w:type="dxa"/>
            <w:noWrap w:val="0"/>
            <w:vAlign w:val="center"/>
          </w:tcPr>
          <w:p w14:paraId="00E69E6A">
            <w:pPr>
              <w:keepNext w:val="0"/>
              <w:keepLines w:val="0"/>
              <w:pageBreakBefore w:val="0"/>
              <w:kinsoku/>
              <w:wordWrap/>
              <w:overflowPunct/>
              <w:topLinePunct w:val="0"/>
              <w:bidi w:val="0"/>
              <w:adjustRightInd/>
              <w:snapToGrid/>
              <w:spacing w:line="400" w:lineRule="exact"/>
              <w:ind w:firstLine="420" w:firstLineChars="200"/>
              <w:jc w:val="left"/>
              <w:textAlignment w:val="auto"/>
              <w:rPr>
                <w:rFonts w:hint="eastAsia" w:ascii="宋体" w:hAnsi="宋体" w:eastAsia="宋体"/>
                <w:kern w:val="0"/>
                <w:highlight w:val="none"/>
                <w:lang w:val="en-US" w:eastAsia="zh-CN"/>
              </w:rPr>
            </w:pPr>
            <w:r>
              <w:rPr>
                <w:rFonts w:ascii="宋体" w:hAnsi="宋体"/>
                <w:kern w:val="0"/>
                <w:szCs w:val="21"/>
                <w:highlight w:val="none"/>
              </w:rPr>
              <w:t>本次评标采用综合评估法</w:t>
            </w:r>
            <w:r>
              <w:rPr>
                <w:rFonts w:ascii="宋体" w:hAnsi="宋体"/>
                <w:spacing w:val="-47"/>
                <w:kern w:val="0"/>
                <w:szCs w:val="21"/>
                <w:highlight w:val="none"/>
              </w:rPr>
              <w:t>。</w:t>
            </w:r>
            <w:r>
              <w:rPr>
                <w:rFonts w:hint="eastAsia" w:ascii="宋体" w:hAnsi="宋体"/>
                <w:kern w:val="0"/>
                <w:szCs w:val="21"/>
                <w:highlight w:val="none"/>
              </w:rPr>
              <w:t>公开比选委员会</w:t>
            </w:r>
            <w:r>
              <w:rPr>
                <w:rFonts w:ascii="宋体" w:hAnsi="宋体"/>
                <w:kern w:val="0"/>
                <w:szCs w:val="21"/>
                <w:highlight w:val="none"/>
              </w:rPr>
              <w:t>按照本章</w:t>
            </w:r>
            <w:r>
              <w:rPr>
                <w:rFonts w:ascii="宋体" w:hAnsi="宋体"/>
                <w:spacing w:val="-1"/>
                <w:kern w:val="0"/>
                <w:szCs w:val="21"/>
                <w:highlight w:val="none"/>
              </w:rPr>
              <w:t>规</w:t>
            </w:r>
            <w:r>
              <w:rPr>
                <w:rFonts w:ascii="宋体" w:hAnsi="宋体"/>
                <w:kern w:val="0"/>
                <w:szCs w:val="21"/>
                <w:highlight w:val="none"/>
              </w:rPr>
              <w:t>定的评分标准进行打分，按得分由高到低顺序推荐中选候选人</w:t>
            </w:r>
            <w:r>
              <w:rPr>
                <w:rFonts w:ascii="宋体" w:hAnsi="宋体"/>
                <w:spacing w:val="-31"/>
                <w:kern w:val="0"/>
                <w:szCs w:val="21"/>
                <w:highlight w:val="none"/>
              </w:rPr>
              <w:t>。</w:t>
            </w:r>
            <w:r>
              <w:rPr>
                <w:rFonts w:ascii="宋体" w:hAnsi="宋体"/>
                <w:kern w:val="0"/>
                <w:szCs w:val="21"/>
                <w:highlight w:val="none"/>
              </w:rPr>
              <w:t>综合评分相等时</w:t>
            </w:r>
            <w:r>
              <w:rPr>
                <w:rFonts w:ascii="宋体" w:hAnsi="宋体"/>
                <w:spacing w:val="-31"/>
                <w:kern w:val="0"/>
                <w:szCs w:val="21"/>
                <w:highlight w:val="none"/>
              </w:rPr>
              <w:t>，</w:t>
            </w:r>
            <w:r>
              <w:rPr>
                <w:rFonts w:ascii="宋体" w:hAnsi="宋体"/>
                <w:kern w:val="0"/>
                <w:szCs w:val="21"/>
                <w:highlight w:val="none"/>
              </w:rPr>
              <w:t>以参选报价低的优先；参选报价相等的，</w:t>
            </w:r>
            <w:r>
              <w:rPr>
                <w:rFonts w:hint="eastAsia" w:ascii="宋体" w:hAnsi="宋体"/>
                <w:kern w:val="0"/>
                <w:szCs w:val="21"/>
                <w:highlight w:val="none"/>
              </w:rPr>
              <w:t>以技术部分得分高的优先；技术部分得分相等的，由公开比选委员会抽签确定。</w:t>
            </w:r>
          </w:p>
        </w:tc>
      </w:tr>
      <w:tr w14:paraId="77D3DEF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trPr>
        <w:tc>
          <w:tcPr>
            <w:tcW w:w="994" w:type="dxa"/>
            <w:noWrap w:val="0"/>
            <w:vAlign w:val="center"/>
          </w:tcPr>
          <w:p w14:paraId="32DB23E3">
            <w:pPr>
              <w:keepNext w:val="0"/>
              <w:keepLines w:val="0"/>
              <w:pageBreakBefore w:val="0"/>
              <w:kinsoku/>
              <w:wordWrap/>
              <w:overflowPunct/>
              <w:topLinePunct w:val="0"/>
              <w:bidi w:val="0"/>
              <w:adjustRightInd/>
              <w:snapToGrid/>
              <w:spacing w:line="400" w:lineRule="exact"/>
              <w:jc w:val="center"/>
              <w:textAlignment w:val="auto"/>
              <w:rPr>
                <w:rFonts w:ascii="宋体" w:hAnsi="宋体"/>
                <w:kern w:val="0"/>
                <w:highlight w:val="none"/>
              </w:rPr>
            </w:pPr>
            <w:r>
              <w:rPr>
                <w:rFonts w:ascii="宋体" w:hAnsi="宋体"/>
                <w:kern w:val="0"/>
                <w:highlight w:val="none"/>
              </w:rPr>
              <w:t>2.1.</w:t>
            </w:r>
            <w:r>
              <w:rPr>
                <w:rFonts w:hint="eastAsia" w:ascii="宋体" w:hAnsi="宋体"/>
                <w:kern w:val="0"/>
                <w:highlight w:val="none"/>
              </w:rPr>
              <w:t>1</w:t>
            </w:r>
          </w:p>
        </w:tc>
        <w:tc>
          <w:tcPr>
            <w:tcW w:w="992" w:type="dxa"/>
            <w:noWrap w:val="0"/>
            <w:vAlign w:val="center"/>
          </w:tcPr>
          <w:p w14:paraId="4EC099EA">
            <w:pPr>
              <w:keepNext w:val="0"/>
              <w:keepLines w:val="0"/>
              <w:pageBreakBefore w:val="0"/>
              <w:kinsoku/>
              <w:wordWrap/>
              <w:overflowPunct/>
              <w:topLinePunct w:val="0"/>
              <w:bidi w:val="0"/>
              <w:adjustRightInd/>
              <w:snapToGrid/>
              <w:spacing w:line="400" w:lineRule="exact"/>
              <w:jc w:val="center"/>
              <w:textAlignment w:val="auto"/>
              <w:rPr>
                <w:rFonts w:ascii="宋体" w:hAnsi="宋体"/>
                <w:kern w:val="0"/>
                <w:highlight w:val="none"/>
              </w:rPr>
            </w:pPr>
            <w:r>
              <w:rPr>
                <w:rFonts w:ascii="宋体" w:hAnsi="宋体"/>
                <w:kern w:val="0"/>
                <w:highlight w:val="none"/>
              </w:rPr>
              <w:t>资格评审标准</w:t>
            </w:r>
          </w:p>
        </w:tc>
        <w:tc>
          <w:tcPr>
            <w:tcW w:w="1690" w:type="dxa"/>
            <w:tcBorders>
              <w:bottom w:val="single" w:color="auto" w:sz="4" w:space="0"/>
            </w:tcBorders>
            <w:noWrap w:val="0"/>
            <w:vAlign w:val="center"/>
          </w:tcPr>
          <w:p w14:paraId="1D781076">
            <w:pPr>
              <w:keepNext w:val="0"/>
              <w:keepLines w:val="0"/>
              <w:pageBreakBefore w:val="0"/>
              <w:kinsoku/>
              <w:wordWrap/>
              <w:overflowPunct/>
              <w:topLinePunct w:val="0"/>
              <w:bidi w:val="0"/>
              <w:adjustRightInd/>
              <w:snapToGrid/>
              <w:spacing w:line="400" w:lineRule="exact"/>
              <w:jc w:val="left"/>
              <w:textAlignment w:val="auto"/>
              <w:rPr>
                <w:rFonts w:ascii="宋体" w:hAnsi="宋体"/>
                <w:kern w:val="0"/>
                <w:highlight w:val="none"/>
              </w:rPr>
            </w:pPr>
            <w:r>
              <w:rPr>
                <w:rFonts w:hint="eastAsia" w:ascii="宋体" w:hAnsi="宋体"/>
                <w:kern w:val="0"/>
                <w:highlight w:val="none"/>
              </w:rPr>
              <w:t>参选人资质条件、能力和信誉</w:t>
            </w:r>
          </w:p>
        </w:tc>
        <w:tc>
          <w:tcPr>
            <w:tcW w:w="5794" w:type="dxa"/>
            <w:noWrap w:val="0"/>
            <w:vAlign w:val="center"/>
          </w:tcPr>
          <w:p w14:paraId="19DC7D26">
            <w:pPr>
              <w:keepNext w:val="0"/>
              <w:keepLines w:val="0"/>
              <w:pageBreakBefore w:val="0"/>
              <w:kinsoku/>
              <w:wordWrap/>
              <w:overflowPunct/>
              <w:topLinePunct w:val="0"/>
              <w:bidi w:val="0"/>
              <w:adjustRightInd/>
              <w:snapToGrid/>
              <w:spacing w:line="400" w:lineRule="exact"/>
              <w:ind w:firstLine="420" w:firstLineChars="200"/>
              <w:textAlignment w:val="auto"/>
              <w:rPr>
                <w:rFonts w:ascii="宋体" w:hAnsi="宋体"/>
                <w:kern w:val="0"/>
                <w:highlight w:val="none"/>
              </w:rPr>
            </w:pPr>
            <w:r>
              <w:rPr>
                <w:rFonts w:ascii="宋体" w:hAnsi="宋体"/>
                <w:kern w:val="0"/>
                <w:highlight w:val="none"/>
              </w:rPr>
              <w:t>符合</w:t>
            </w:r>
            <w:r>
              <w:rPr>
                <w:rFonts w:hint="eastAsia" w:ascii="宋体" w:hAnsi="宋体"/>
                <w:kern w:val="0"/>
                <w:highlight w:val="none"/>
                <w:lang w:val="en-US" w:eastAsia="zh-CN"/>
              </w:rPr>
              <w:t>‘</w:t>
            </w:r>
            <w:r>
              <w:rPr>
                <w:rFonts w:hint="default" w:ascii="宋体" w:hAnsi="宋体"/>
                <w:kern w:val="0"/>
                <w:highlight w:val="none"/>
                <w:lang w:val="en-US" w:eastAsia="zh-CN"/>
              </w:rPr>
              <w:t>二、参选人资格要求</w:t>
            </w:r>
            <w:r>
              <w:rPr>
                <w:rFonts w:hint="eastAsia" w:ascii="宋体" w:hAnsi="宋体"/>
                <w:kern w:val="0"/>
                <w:highlight w:val="none"/>
                <w:lang w:val="en-US" w:eastAsia="zh-CN"/>
              </w:rPr>
              <w:t>’</w:t>
            </w:r>
            <w:r>
              <w:rPr>
                <w:rFonts w:ascii="宋体" w:hAnsi="宋体"/>
                <w:kern w:val="0"/>
                <w:highlight w:val="none"/>
              </w:rPr>
              <w:t>规定。</w:t>
            </w:r>
          </w:p>
        </w:tc>
      </w:tr>
      <w:tr w14:paraId="32477DB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994" w:type="dxa"/>
            <w:vMerge w:val="restart"/>
            <w:noWrap w:val="0"/>
            <w:vAlign w:val="center"/>
          </w:tcPr>
          <w:p w14:paraId="08E5BCF9">
            <w:pPr>
              <w:keepNext w:val="0"/>
              <w:keepLines w:val="0"/>
              <w:pageBreakBefore w:val="0"/>
              <w:kinsoku/>
              <w:wordWrap/>
              <w:overflowPunct/>
              <w:topLinePunct w:val="0"/>
              <w:bidi w:val="0"/>
              <w:adjustRightInd/>
              <w:snapToGrid/>
              <w:spacing w:line="400" w:lineRule="exact"/>
              <w:jc w:val="center"/>
              <w:textAlignment w:val="auto"/>
              <w:rPr>
                <w:rFonts w:ascii="宋体" w:hAnsi="宋体"/>
                <w:highlight w:val="none"/>
              </w:rPr>
            </w:pPr>
            <w:r>
              <w:rPr>
                <w:rFonts w:ascii="宋体" w:hAnsi="宋体"/>
                <w:kern w:val="0"/>
                <w:highlight w:val="none"/>
              </w:rPr>
              <w:t>2.1.</w:t>
            </w:r>
            <w:r>
              <w:rPr>
                <w:rFonts w:hint="eastAsia" w:ascii="宋体" w:hAnsi="宋体"/>
                <w:kern w:val="0"/>
                <w:highlight w:val="none"/>
              </w:rPr>
              <w:t>2</w:t>
            </w:r>
          </w:p>
        </w:tc>
        <w:tc>
          <w:tcPr>
            <w:tcW w:w="992" w:type="dxa"/>
            <w:vMerge w:val="restart"/>
            <w:noWrap w:val="0"/>
            <w:vAlign w:val="center"/>
          </w:tcPr>
          <w:p w14:paraId="69CBE560">
            <w:pPr>
              <w:keepNext w:val="0"/>
              <w:keepLines w:val="0"/>
              <w:pageBreakBefore w:val="0"/>
              <w:kinsoku/>
              <w:wordWrap/>
              <w:overflowPunct/>
              <w:topLinePunct w:val="0"/>
              <w:bidi w:val="0"/>
              <w:adjustRightInd/>
              <w:snapToGrid/>
              <w:spacing w:line="400" w:lineRule="exact"/>
              <w:jc w:val="center"/>
              <w:textAlignment w:val="auto"/>
              <w:rPr>
                <w:rFonts w:ascii="宋体" w:hAnsi="宋体"/>
                <w:highlight w:val="none"/>
              </w:rPr>
            </w:pPr>
            <w:r>
              <w:rPr>
                <w:rFonts w:ascii="宋体" w:hAnsi="宋体"/>
                <w:kern w:val="0"/>
                <w:highlight w:val="none"/>
              </w:rPr>
              <w:t>形式评审标准</w:t>
            </w:r>
          </w:p>
        </w:tc>
        <w:tc>
          <w:tcPr>
            <w:tcW w:w="1690" w:type="dxa"/>
            <w:tcBorders>
              <w:top w:val="single" w:color="auto" w:sz="4" w:space="0"/>
              <w:bottom w:val="single" w:color="auto" w:sz="4" w:space="0"/>
            </w:tcBorders>
            <w:noWrap w:val="0"/>
            <w:vAlign w:val="center"/>
          </w:tcPr>
          <w:p w14:paraId="7CD1609E">
            <w:pPr>
              <w:keepNext w:val="0"/>
              <w:keepLines w:val="0"/>
              <w:pageBreakBefore w:val="0"/>
              <w:kinsoku/>
              <w:wordWrap/>
              <w:overflowPunct/>
              <w:topLinePunct w:val="0"/>
              <w:bidi w:val="0"/>
              <w:adjustRightInd/>
              <w:snapToGrid/>
              <w:spacing w:line="400" w:lineRule="exact"/>
              <w:jc w:val="left"/>
              <w:textAlignment w:val="auto"/>
              <w:rPr>
                <w:rFonts w:ascii="宋体" w:hAnsi="宋体"/>
                <w:kern w:val="0"/>
                <w:highlight w:val="none"/>
              </w:rPr>
            </w:pPr>
            <w:r>
              <w:rPr>
                <w:rFonts w:ascii="宋体" w:hAnsi="宋体"/>
                <w:kern w:val="0"/>
                <w:highlight w:val="none"/>
              </w:rPr>
              <w:t>参选人名称</w:t>
            </w:r>
          </w:p>
        </w:tc>
        <w:tc>
          <w:tcPr>
            <w:tcW w:w="5794" w:type="dxa"/>
            <w:noWrap w:val="0"/>
            <w:vAlign w:val="center"/>
          </w:tcPr>
          <w:p w14:paraId="28E97C76">
            <w:pPr>
              <w:keepNext w:val="0"/>
              <w:keepLines w:val="0"/>
              <w:pageBreakBefore w:val="0"/>
              <w:kinsoku/>
              <w:wordWrap/>
              <w:overflowPunct/>
              <w:topLinePunct w:val="0"/>
              <w:bidi w:val="0"/>
              <w:adjustRightInd/>
              <w:snapToGrid/>
              <w:spacing w:line="400" w:lineRule="exact"/>
              <w:ind w:firstLine="420" w:firstLineChars="200"/>
              <w:textAlignment w:val="auto"/>
              <w:rPr>
                <w:rFonts w:ascii="宋体" w:hAnsi="宋体"/>
                <w:kern w:val="0"/>
                <w:highlight w:val="none"/>
              </w:rPr>
            </w:pPr>
            <w:r>
              <w:rPr>
                <w:rFonts w:ascii="宋体" w:hAnsi="宋体"/>
                <w:kern w:val="0"/>
                <w:highlight w:val="none"/>
              </w:rPr>
              <w:t>与营业执照一致</w:t>
            </w:r>
            <w:r>
              <w:rPr>
                <w:rFonts w:hint="eastAsia" w:ascii="宋体" w:hAnsi="宋体"/>
                <w:kern w:val="0"/>
                <w:highlight w:val="none"/>
              </w:rPr>
              <w:t>，依法变更名称的应提交相应证明材料</w:t>
            </w:r>
            <w:r>
              <w:rPr>
                <w:rFonts w:ascii="宋体" w:hAnsi="宋体"/>
                <w:kern w:val="0"/>
                <w:highlight w:val="none"/>
              </w:rPr>
              <w:t>。</w:t>
            </w:r>
          </w:p>
        </w:tc>
      </w:tr>
      <w:tr w14:paraId="43EAC69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994" w:type="dxa"/>
            <w:vMerge w:val="continue"/>
            <w:noWrap w:val="0"/>
            <w:vAlign w:val="top"/>
          </w:tcPr>
          <w:p w14:paraId="05674063">
            <w:pPr>
              <w:keepNext w:val="0"/>
              <w:keepLines w:val="0"/>
              <w:pageBreakBefore w:val="0"/>
              <w:kinsoku/>
              <w:wordWrap/>
              <w:overflowPunct/>
              <w:topLinePunct w:val="0"/>
              <w:bidi w:val="0"/>
              <w:adjustRightInd/>
              <w:snapToGrid/>
              <w:spacing w:line="400" w:lineRule="exact"/>
              <w:textAlignment w:val="auto"/>
              <w:rPr>
                <w:rFonts w:ascii="宋体" w:hAnsi="宋体"/>
                <w:highlight w:val="none"/>
              </w:rPr>
            </w:pPr>
          </w:p>
        </w:tc>
        <w:tc>
          <w:tcPr>
            <w:tcW w:w="992" w:type="dxa"/>
            <w:vMerge w:val="continue"/>
            <w:noWrap w:val="0"/>
            <w:vAlign w:val="top"/>
          </w:tcPr>
          <w:p w14:paraId="7AB9A4A5">
            <w:pPr>
              <w:keepNext w:val="0"/>
              <w:keepLines w:val="0"/>
              <w:pageBreakBefore w:val="0"/>
              <w:kinsoku/>
              <w:wordWrap/>
              <w:overflowPunct/>
              <w:topLinePunct w:val="0"/>
              <w:bidi w:val="0"/>
              <w:adjustRightInd/>
              <w:snapToGrid/>
              <w:spacing w:line="400" w:lineRule="exact"/>
              <w:textAlignment w:val="auto"/>
              <w:rPr>
                <w:rFonts w:ascii="宋体" w:hAnsi="宋体"/>
                <w:highlight w:val="none"/>
              </w:rPr>
            </w:pPr>
          </w:p>
        </w:tc>
        <w:tc>
          <w:tcPr>
            <w:tcW w:w="1690" w:type="dxa"/>
            <w:tcBorders>
              <w:top w:val="single" w:color="auto" w:sz="4" w:space="0"/>
              <w:bottom w:val="single" w:color="auto" w:sz="4" w:space="0"/>
            </w:tcBorders>
            <w:noWrap w:val="0"/>
            <w:vAlign w:val="center"/>
          </w:tcPr>
          <w:p w14:paraId="3A997282">
            <w:pPr>
              <w:keepNext w:val="0"/>
              <w:keepLines w:val="0"/>
              <w:pageBreakBefore w:val="0"/>
              <w:kinsoku/>
              <w:wordWrap/>
              <w:overflowPunct/>
              <w:topLinePunct w:val="0"/>
              <w:bidi w:val="0"/>
              <w:adjustRightInd/>
              <w:snapToGrid/>
              <w:spacing w:line="400" w:lineRule="exact"/>
              <w:jc w:val="left"/>
              <w:textAlignment w:val="auto"/>
              <w:rPr>
                <w:rFonts w:ascii="宋体" w:hAnsi="宋体"/>
                <w:kern w:val="0"/>
                <w:highlight w:val="none"/>
              </w:rPr>
            </w:pPr>
            <w:r>
              <w:rPr>
                <w:rFonts w:ascii="宋体" w:hAnsi="宋体"/>
                <w:kern w:val="0"/>
                <w:highlight w:val="none"/>
              </w:rPr>
              <w:t>参选函签字盖章</w:t>
            </w:r>
          </w:p>
        </w:tc>
        <w:tc>
          <w:tcPr>
            <w:tcW w:w="5794" w:type="dxa"/>
            <w:noWrap w:val="0"/>
            <w:vAlign w:val="center"/>
          </w:tcPr>
          <w:p w14:paraId="2F7A48C7">
            <w:pPr>
              <w:keepNext w:val="0"/>
              <w:keepLines w:val="0"/>
              <w:pageBreakBefore w:val="0"/>
              <w:kinsoku/>
              <w:wordWrap/>
              <w:overflowPunct/>
              <w:topLinePunct w:val="0"/>
              <w:bidi w:val="0"/>
              <w:adjustRightInd/>
              <w:snapToGrid/>
              <w:spacing w:line="400" w:lineRule="exact"/>
              <w:ind w:firstLine="420" w:firstLineChars="200"/>
              <w:textAlignment w:val="auto"/>
              <w:rPr>
                <w:rFonts w:ascii="宋体" w:hAnsi="宋体"/>
                <w:kern w:val="0"/>
                <w:highlight w:val="none"/>
              </w:rPr>
            </w:pPr>
            <w:r>
              <w:rPr>
                <w:rFonts w:ascii="宋体" w:hAnsi="宋体"/>
                <w:kern w:val="0"/>
                <w:highlight w:val="none"/>
              </w:rPr>
              <w:t>参选函格式规定签字</w:t>
            </w:r>
            <w:r>
              <w:rPr>
                <w:rFonts w:hint="eastAsia" w:ascii="宋体" w:hAnsi="宋体"/>
                <w:kern w:val="0"/>
                <w:highlight w:val="none"/>
              </w:rPr>
              <w:t>、</w:t>
            </w:r>
            <w:r>
              <w:rPr>
                <w:rFonts w:ascii="宋体" w:hAnsi="宋体"/>
                <w:kern w:val="0"/>
                <w:highlight w:val="none"/>
              </w:rPr>
              <w:t>盖章的位置有法定代表人或其委托代理人签字（或盖章）、加盖单位公章。</w:t>
            </w:r>
          </w:p>
        </w:tc>
      </w:tr>
      <w:tr w14:paraId="02D46B7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994" w:type="dxa"/>
            <w:vMerge w:val="continue"/>
            <w:noWrap w:val="0"/>
            <w:vAlign w:val="top"/>
          </w:tcPr>
          <w:p w14:paraId="049ED6C5">
            <w:pPr>
              <w:keepNext w:val="0"/>
              <w:keepLines w:val="0"/>
              <w:pageBreakBefore w:val="0"/>
              <w:kinsoku/>
              <w:wordWrap/>
              <w:overflowPunct/>
              <w:topLinePunct w:val="0"/>
              <w:bidi w:val="0"/>
              <w:adjustRightInd/>
              <w:snapToGrid/>
              <w:spacing w:line="400" w:lineRule="exact"/>
              <w:textAlignment w:val="auto"/>
              <w:rPr>
                <w:rFonts w:ascii="宋体" w:hAnsi="宋体"/>
                <w:highlight w:val="none"/>
              </w:rPr>
            </w:pPr>
          </w:p>
        </w:tc>
        <w:tc>
          <w:tcPr>
            <w:tcW w:w="992" w:type="dxa"/>
            <w:vMerge w:val="continue"/>
            <w:noWrap w:val="0"/>
            <w:vAlign w:val="top"/>
          </w:tcPr>
          <w:p w14:paraId="0762FE0D">
            <w:pPr>
              <w:keepNext w:val="0"/>
              <w:keepLines w:val="0"/>
              <w:pageBreakBefore w:val="0"/>
              <w:kinsoku/>
              <w:wordWrap/>
              <w:overflowPunct/>
              <w:topLinePunct w:val="0"/>
              <w:bidi w:val="0"/>
              <w:adjustRightInd/>
              <w:snapToGrid/>
              <w:spacing w:line="400" w:lineRule="exact"/>
              <w:textAlignment w:val="auto"/>
              <w:rPr>
                <w:rFonts w:ascii="宋体" w:hAnsi="宋体"/>
                <w:highlight w:val="none"/>
              </w:rPr>
            </w:pPr>
          </w:p>
        </w:tc>
        <w:tc>
          <w:tcPr>
            <w:tcW w:w="1690" w:type="dxa"/>
            <w:tcBorders>
              <w:top w:val="single" w:color="auto" w:sz="4" w:space="0"/>
              <w:bottom w:val="single" w:color="auto" w:sz="4" w:space="0"/>
            </w:tcBorders>
            <w:noWrap w:val="0"/>
            <w:vAlign w:val="center"/>
          </w:tcPr>
          <w:p w14:paraId="2F41309D">
            <w:pPr>
              <w:keepNext w:val="0"/>
              <w:keepLines w:val="0"/>
              <w:pageBreakBefore w:val="0"/>
              <w:kinsoku/>
              <w:wordWrap/>
              <w:overflowPunct/>
              <w:topLinePunct w:val="0"/>
              <w:bidi w:val="0"/>
              <w:adjustRightInd/>
              <w:snapToGrid/>
              <w:spacing w:line="400" w:lineRule="exact"/>
              <w:jc w:val="left"/>
              <w:textAlignment w:val="auto"/>
              <w:rPr>
                <w:rFonts w:ascii="宋体" w:hAnsi="宋体"/>
                <w:kern w:val="0"/>
                <w:highlight w:val="none"/>
              </w:rPr>
            </w:pPr>
            <w:r>
              <w:rPr>
                <w:rFonts w:ascii="宋体" w:hAnsi="宋体"/>
                <w:kern w:val="0"/>
                <w:highlight w:val="none"/>
              </w:rPr>
              <w:t>参选文件格式</w:t>
            </w:r>
          </w:p>
        </w:tc>
        <w:tc>
          <w:tcPr>
            <w:tcW w:w="5794" w:type="dxa"/>
            <w:noWrap w:val="0"/>
            <w:vAlign w:val="center"/>
          </w:tcPr>
          <w:p w14:paraId="3D222538">
            <w:pPr>
              <w:keepNext w:val="0"/>
              <w:keepLines w:val="0"/>
              <w:pageBreakBefore w:val="0"/>
              <w:kinsoku/>
              <w:wordWrap/>
              <w:overflowPunct/>
              <w:topLinePunct w:val="0"/>
              <w:bidi w:val="0"/>
              <w:adjustRightInd/>
              <w:snapToGrid/>
              <w:spacing w:line="400" w:lineRule="exact"/>
              <w:ind w:firstLine="420" w:firstLineChars="200"/>
              <w:textAlignment w:val="auto"/>
              <w:rPr>
                <w:rFonts w:ascii="宋体" w:hAnsi="宋体"/>
                <w:kern w:val="0"/>
                <w:highlight w:val="none"/>
              </w:rPr>
            </w:pPr>
            <w:r>
              <w:rPr>
                <w:rFonts w:ascii="宋体" w:hAnsi="宋体"/>
                <w:kern w:val="0"/>
                <w:highlight w:val="none"/>
              </w:rPr>
              <w:t>符合</w:t>
            </w:r>
            <w:r>
              <w:rPr>
                <w:rFonts w:hint="eastAsia" w:ascii="宋体" w:hAnsi="宋体"/>
                <w:kern w:val="0"/>
                <w:highlight w:val="none"/>
              </w:rPr>
              <w:t>“</w:t>
            </w:r>
            <w:r>
              <w:rPr>
                <w:rFonts w:hint="eastAsia" w:ascii="宋体" w:hAnsi="宋体"/>
                <w:kern w:val="0"/>
                <w:highlight w:val="none"/>
                <w:lang w:val="en-US" w:eastAsia="zh-CN"/>
              </w:rPr>
              <w:t>六</w:t>
            </w:r>
            <w:r>
              <w:rPr>
                <w:rFonts w:hint="default" w:ascii="宋体" w:hAnsi="宋体"/>
                <w:kern w:val="0"/>
                <w:highlight w:val="none"/>
                <w:lang w:val="en-US" w:eastAsia="zh-CN"/>
              </w:rPr>
              <w:t>、参选资料要求</w:t>
            </w:r>
            <w:r>
              <w:rPr>
                <w:rFonts w:hint="eastAsia" w:ascii="宋体" w:hAnsi="宋体"/>
                <w:kern w:val="0"/>
                <w:highlight w:val="none"/>
              </w:rPr>
              <w:t>”</w:t>
            </w:r>
            <w:r>
              <w:rPr>
                <w:rFonts w:ascii="宋体" w:hAnsi="宋体"/>
                <w:kern w:val="0"/>
                <w:highlight w:val="none"/>
              </w:rPr>
              <w:t>的要求。</w:t>
            </w:r>
          </w:p>
        </w:tc>
      </w:tr>
      <w:tr w14:paraId="646850C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994" w:type="dxa"/>
            <w:vMerge w:val="continue"/>
            <w:noWrap w:val="0"/>
            <w:vAlign w:val="top"/>
          </w:tcPr>
          <w:p w14:paraId="2AB01109">
            <w:pPr>
              <w:keepNext w:val="0"/>
              <w:keepLines w:val="0"/>
              <w:pageBreakBefore w:val="0"/>
              <w:kinsoku/>
              <w:wordWrap/>
              <w:overflowPunct/>
              <w:topLinePunct w:val="0"/>
              <w:bidi w:val="0"/>
              <w:adjustRightInd/>
              <w:snapToGrid/>
              <w:spacing w:line="400" w:lineRule="exact"/>
              <w:textAlignment w:val="auto"/>
              <w:rPr>
                <w:rFonts w:ascii="宋体" w:hAnsi="宋体"/>
                <w:highlight w:val="none"/>
              </w:rPr>
            </w:pPr>
          </w:p>
        </w:tc>
        <w:tc>
          <w:tcPr>
            <w:tcW w:w="992" w:type="dxa"/>
            <w:vMerge w:val="continue"/>
            <w:noWrap w:val="0"/>
            <w:vAlign w:val="top"/>
          </w:tcPr>
          <w:p w14:paraId="18601062">
            <w:pPr>
              <w:keepNext w:val="0"/>
              <w:keepLines w:val="0"/>
              <w:pageBreakBefore w:val="0"/>
              <w:kinsoku/>
              <w:wordWrap/>
              <w:overflowPunct/>
              <w:topLinePunct w:val="0"/>
              <w:bidi w:val="0"/>
              <w:adjustRightInd/>
              <w:snapToGrid/>
              <w:spacing w:line="400" w:lineRule="exact"/>
              <w:textAlignment w:val="auto"/>
              <w:rPr>
                <w:rFonts w:ascii="宋体" w:hAnsi="宋体"/>
                <w:highlight w:val="none"/>
              </w:rPr>
            </w:pPr>
          </w:p>
        </w:tc>
        <w:tc>
          <w:tcPr>
            <w:tcW w:w="1690" w:type="dxa"/>
            <w:tcBorders>
              <w:top w:val="single" w:color="auto" w:sz="4" w:space="0"/>
              <w:bottom w:val="single" w:color="auto" w:sz="4" w:space="0"/>
            </w:tcBorders>
            <w:noWrap w:val="0"/>
            <w:vAlign w:val="center"/>
          </w:tcPr>
          <w:p w14:paraId="6883241C">
            <w:pPr>
              <w:keepNext w:val="0"/>
              <w:keepLines w:val="0"/>
              <w:pageBreakBefore w:val="0"/>
              <w:kinsoku/>
              <w:wordWrap/>
              <w:overflowPunct/>
              <w:topLinePunct w:val="0"/>
              <w:bidi w:val="0"/>
              <w:adjustRightInd/>
              <w:snapToGrid/>
              <w:spacing w:line="400" w:lineRule="exact"/>
              <w:jc w:val="left"/>
              <w:textAlignment w:val="auto"/>
              <w:rPr>
                <w:rFonts w:ascii="宋体" w:hAnsi="宋体"/>
                <w:kern w:val="0"/>
                <w:highlight w:val="none"/>
              </w:rPr>
            </w:pPr>
            <w:r>
              <w:rPr>
                <w:rFonts w:hint="eastAsia" w:ascii="宋体" w:hAnsi="宋体"/>
                <w:kern w:val="0"/>
                <w:highlight w:val="none"/>
              </w:rPr>
              <w:t>参选文件份数</w:t>
            </w:r>
          </w:p>
        </w:tc>
        <w:tc>
          <w:tcPr>
            <w:tcW w:w="5794" w:type="dxa"/>
            <w:noWrap w:val="0"/>
            <w:vAlign w:val="center"/>
          </w:tcPr>
          <w:p w14:paraId="23C59B9F">
            <w:pPr>
              <w:keepNext w:val="0"/>
              <w:keepLines w:val="0"/>
              <w:pageBreakBefore w:val="0"/>
              <w:kinsoku/>
              <w:wordWrap/>
              <w:overflowPunct/>
              <w:topLinePunct w:val="0"/>
              <w:bidi w:val="0"/>
              <w:adjustRightInd/>
              <w:snapToGrid/>
              <w:spacing w:line="400" w:lineRule="exact"/>
              <w:ind w:firstLine="420" w:firstLineChars="200"/>
              <w:textAlignment w:val="auto"/>
              <w:rPr>
                <w:rFonts w:ascii="宋体" w:hAnsi="宋体"/>
                <w:kern w:val="0"/>
                <w:highlight w:val="none"/>
              </w:rPr>
            </w:pPr>
            <w:r>
              <w:rPr>
                <w:rFonts w:hint="eastAsia" w:ascii="宋体" w:hAnsi="宋体"/>
                <w:kern w:val="0"/>
                <w:highlight w:val="none"/>
              </w:rPr>
              <w:t>符合“</w:t>
            </w:r>
            <w:r>
              <w:rPr>
                <w:rFonts w:hint="eastAsia" w:ascii="宋体" w:hAnsi="宋体"/>
                <w:kern w:val="0"/>
                <w:highlight w:val="none"/>
                <w:lang w:val="en-US" w:eastAsia="zh-CN"/>
              </w:rPr>
              <w:t>六</w:t>
            </w:r>
            <w:r>
              <w:rPr>
                <w:rFonts w:hint="default" w:ascii="宋体" w:hAnsi="宋体"/>
                <w:kern w:val="0"/>
                <w:highlight w:val="none"/>
                <w:lang w:val="en-US" w:eastAsia="zh-CN"/>
              </w:rPr>
              <w:t>、参选资料要求</w:t>
            </w:r>
            <w:r>
              <w:rPr>
                <w:rFonts w:hint="eastAsia" w:ascii="宋体" w:hAnsi="宋体"/>
                <w:kern w:val="0"/>
                <w:highlight w:val="none"/>
              </w:rPr>
              <w:t>”规定。</w:t>
            </w:r>
          </w:p>
        </w:tc>
      </w:tr>
      <w:tr w14:paraId="3089E73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994" w:type="dxa"/>
            <w:vMerge w:val="continue"/>
            <w:noWrap w:val="0"/>
            <w:vAlign w:val="top"/>
          </w:tcPr>
          <w:p w14:paraId="1B3DB3D6">
            <w:pPr>
              <w:keepNext w:val="0"/>
              <w:keepLines w:val="0"/>
              <w:pageBreakBefore w:val="0"/>
              <w:kinsoku/>
              <w:wordWrap/>
              <w:overflowPunct/>
              <w:topLinePunct w:val="0"/>
              <w:bidi w:val="0"/>
              <w:adjustRightInd/>
              <w:snapToGrid/>
              <w:spacing w:line="400" w:lineRule="exact"/>
              <w:textAlignment w:val="auto"/>
              <w:rPr>
                <w:rFonts w:ascii="宋体" w:hAnsi="宋体"/>
                <w:highlight w:val="none"/>
              </w:rPr>
            </w:pPr>
          </w:p>
        </w:tc>
        <w:tc>
          <w:tcPr>
            <w:tcW w:w="992" w:type="dxa"/>
            <w:vMerge w:val="continue"/>
            <w:noWrap w:val="0"/>
            <w:vAlign w:val="top"/>
          </w:tcPr>
          <w:p w14:paraId="7FF108F0">
            <w:pPr>
              <w:keepNext w:val="0"/>
              <w:keepLines w:val="0"/>
              <w:pageBreakBefore w:val="0"/>
              <w:kinsoku/>
              <w:wordWrap/>
              <w:overflowPunct/>
              <w:topLinePunct w:val="0"/>
              <w:bidi w:val="0"/>
              <w:adjustRightInd/>
              <w:snapToGrid/>
              <w:spacing w:line="400" w:lineRule="exact"/>
              <w:textAlignment w:val="auto"/>
              <w:rPr>
                <w:rFonts w:ascii="宋体" w:hAnsi="宋体"/>
                <w:highlight w:val="none"/>
              </w:rPr>
            </w:pPr>
          </w:p>
        </w:tc>
        <w:tc>
          <w:tcPr>
            <w:tcW w:w="1690" w:type="dxa"/>
            <w:tcBorders>
              <w:top w:val="single" w:color="auto" w:sz="4" w:space="0"/>
              <w:bottom w:val="single" w:color="auto" w:sz="4" w:space="0"/>
            </w:tcBorders>
            <w:noWrap w:val="0"/>
            <w:vAlign w:val="center"/>
          </w:tcPr>
          <w:p w14:paraId="62CD016B">
            <w:pPr>
              <w:keepNext w:val="0"/>
              <w:keepLines w:val="0"/>
              <w:pageBreakBefore w:val="0"/>
              <w:kinsoku/>
              <w:wordWrap/>
              <w:overflowPunct/>
              <w:topLinePunct w:val="0"/>
              <w:bidi w:val="0"/>
              <w:adjustRightInd/>
              <w:snapToGrid/>
              <w:spacing w:line="400" w:lineRule="exact"/>
              <w:jc w:val="left"/>
              <w:textAlignment w:val="auto"/>
              <w:rPr>
                <w:rFonts w:ascii="宋体" w:hAnsi="宋体"/>
                <w:kern w:val="0"/>
                <w:highlight w:val="none"/>
              </w:rPr>
            </w:pPr>
            <w:r>
              <w:rPr>
                <w:rFonts w:ascii="宋体" w:hAnsi="宋体"/>
                <w:kern w:val="0"/>
                <w:highlight w:val="none"/>
              </w:rPr>
              <w:t>报价</w:t>
            </w:r>
          </w:p>
        </w:tc>
        <w:tc>
          <w:tcPr>
            <w:tcW w:w="5794" w:type="dxa"/>
            <w:noWrap w:val="0"/>
            <w:vAlign w:val="center"/>
          </w:tcPr>
          <w:p w14:paraId="4AF94805">
            <w:pPr>
              <w:keepNext w:val="0"/>
              <w:keepLines w:val="0"/>
              <w:pageBreakBefore w:val="0"/>
              <w:kinsoku/>
              <w:wordWrap/>
              <w:overflowPunct/>
              <w:topLinePunct w:val="0"/>
              <w:bidi w:val="0"/>
              <w:adjustRightInd/>
              <w:snapToGrid/>
              <w:spacing w:line="400" w:lineRule="exact"/>
              <w:ind w:firstLine="420" w:firstLineChars="200"/>
              <w:textAlignment w:val="auto"/>
              <w:rPr>
                <w:rFonts w:ascii="宋体" w:hAnsi="宋体"/>
                <w:kern w:val="0"/>
                <w:highlight w:val="none"/>
              </w:rPr>
            </w:pPr>
            <w:r>
              <w:rPr>
                <w:rFonts w:hint="default" w:ascii="宋体" w:hAnsi="宋体"/>
                <w:kern w:val="0"/>
                <w:highlight w:val="none"/>
              </w:rPr>
              <w:t>报价不得高于</w:t>
            </w:r>
            <w:r>
              <w:rPr>
                <w:rFonts w:hint="default" w:ascii="宋体" w:hAnsi="宋体"/>
                <w:kern w:val="0"/>
                <w:highlight w:val="none"/>
                <w:lang w:eastAsia="zh-CN"/>
              </w:rPr>
              <w:t>比选人</w:t>
            </w:r>
            <w:r>
              <w:rPr>
                <w:rFonts w:hint="default" w:ascii="宋体" w:hAnsi="宋体"/>
                <w:kern w:val="0"/>
                <w:highlight w:val="none"/>
              </w:rPr>
              <w:t>公布的最高限价。</w:t>
            </w:r>
          </w:p>
        </w:tc>
      </w:tr>
      <w:tr w14:paraId="18B9D5B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994" w:type="dxa"/>
            <w:vMerge w:val="continue"/>
            <w:noWrap w:val="0"/>
            <w:vAlign w:val="top"/>
          </w:tcPr>
          <w:p w14:paraId="7F7ACC2A">
            <w:pPr>
              <w:keepNext w:val="0"/>
              <w:keepLines w:val="0"/>
              <w:pageBreakBefore w:val="0"/>
              <w:kinsoku/>
              <w:wordWrap/>
              <w:overflowPunct/>
              <w:topLinePunct w:val="0"/>
              <w:bidi w:val="0"/>
              <w:adjustRightInd/>
              <w:snapToGrid/>
              <w:spacing w:line="400" w:lineRule="exact"/>
              <w:textAlignment w:val="auto"/>
              <w:rPr>
                <w:rFonts w:ascii="宋体" w:hAnsi="宋体"/>
                <w:highlight w:val="none"/>
              </w:rPr>
            </w:pPr>
          </w:p>
        </w:tc>
        <w:tc>
          <w:tcPr>
            <w:tcW w:w="992" w:type="dxa"/>
            <w:vMerge w:val="continue"/>
            <w:noWrap w:val="0"/>
            <w:vAlign w:val="top"/>
          </w:tcPr>
          <w:p w14:paraId="31E64EC2">
            <w:pPr>
              <w:keepNext w:val="0"/>
              <w:keepLines w:val="0"/>
              <w:pageBreakBefore w:val="0"/>
              <w:kinsoku/>
              <w:wordWrap/>
              <w:overflowPunct/>
              <w:topLinePunct w:val="0"/>
              <w:bidi w:val="0"/>
              <w:adjustRightInd/>
              <w:snapToGrid/>
              <w:spacing w:line="400" w:lineRule="exact"/>
              <w:textAlignment w:val="auto"/>
              <w:rPr>
                <w:rFonts w:ascii="宋体" w:hAnsi="宋体"/>
                <w:highlight w:val="none"/>
              </w:rPr>
            </w:pPr>
          </w:p>
        </w:tc>
        <w:tc>
          <w:tcPr>
            <w:tcW w:w="1690" w:type="dxa"/>
            <w:tcBorders>
              <w:top w:val="single" w:color="auto" w:sz="4" w:space="0"/>
              <w:bottom w:val="single" w:color="auto" w:sz="4" w:space="0"/>
            </w:tcBorders>
            <w:noWrap w:val="0"/>
            <w:vAlign w:val="center"/>
          </w:tcPr>
          <w:p w14:paraId="36339AB9">
            <w:pPr>
              <w:keepNext w:val="0"/>
              <w:keepLines w:val="0"/>
              <w:pageBreakBefore w:val="0"/>
              <w:kinsoku/>
              <w:wordWrap/>
              <w:overflowPunct/>
              <w:topLinePunct w:val="0"/>
              <w:bidi w:val="0"/>
              <w:adjustRightInd/>
              <w:snapToGrid/>
              <w:spacing w:line="400" w:lineRule="exact"/>
              <w:jc w:val="left"/>
              <w:textAlignment w:val="auto"/>
              <w:rPr>
                <w:rFonts w:ascii="宋体" w:hAnsi="宋体"/>
                <w:kern w:val="0"/>
                <w:highlight w:val="none"/>
              </w:rPr>
            </w:pPr>
            <w:r>
              <w:rPr>
                <w:rFonts w:ascii="宋体" w:hAnsi="宋体"/>
                <w:kern w:val="0"/>
                <w:highlight w:val="none"/>
              </w:rPr>
              <w:t>参选文件的签署</w:t>
            </w:r>
          </w:p>
        </w:tc>
        <w:tc>
          <w:tcPr>
            <w:tcW w:w="5794" w:type="dxa"/>
            <w:noWrap w:val="0"/>
            <w:vAlign w:val="center"/>
          </w:tcPr>
          <w:p w14:paraId="349ABA8A">
            <w:pPr>
              <w:keepNext w:val="0"/>
              <w:keepLines w:val="0"/>
              <w:pageBreakBefore w:val="0"/>
              <w:kinsoku/>
              <w:wordWrap/>
              <w:overflowPunct/>
              <w:topLinePunct w:val="0"/>
              <w:bidi w:val="0"/>
              <w:adjustRightInd/>
              <w:snapToGrid/>
              <w:spacing w:line="400" w:lineRule="exact"/>
              <w:ind w:firstLine="420" w:firstLineChars="200"/>
              <w:textAlignment w:val="auto"/>
              <w:rPr>
                <w:rFonts w:ascii="宋体" w:hAnsi="宋体"/>
                <w:kern w:val="0"/>
                <w:highlight w:val="none"/>
              </w:rPr>
            </w:pPr>
            <w:r>
              <w:rPr>
                <w:rFonts w:hint="eastAsia" w:ascii="宋体" w:hAnsi="宋体"/>
                <w:kern w:val="0"/>
                <w:highlight w:val="none"/>
                <w:lang w:val="en-US" w:eastAsia="zh-CN"/>
              </w:rPr>
              <w:t>六</w:t>
            </w:r>
            <w:r>
              <w:rPr>
                <w:rFonts w:hint="default" w:ascii="宋体" w:hAnsi="宋体"/>
                <w:kern w:val="0"/>
                <w:highlight w:val="none"/>
                <w:lang w:val="en-US" w:eastAsia="zh-CN"/>
              </w:rPr>
              <w:t>、参选资料要求</w:t>
            </w:r>
            <w:r>
              <w:rPr>
                <w:rFonts w:ascii="宋体" w:hAnsi="宋体"/>
                <w:kern w:val="0"/>
                <w:highlight w:val="none"/>
              </w:rPr>
              <w:t>法定代表人或其委托代理人签字（或盖章）</w:t>
            </w:r>
            <w:r>
              <w:rPr>
                <w:rFonts w:hint="eastAsia" w:ascii="宋体" w:hAnsi="宋体"/>
                <w:kern w:val="0"/>
                <w:highlight w:val="none"/>
              </w:rPr>
              <w:t>的须</w:t>
            </w:r>
            <w:r>
              <w:rPr>
                <w:rFonts w:ascii="宋体" w:hAnsi="宋体"/>
                <w:kern w:val="0"/>
                <w:highlight w:val="none"/>
              </w:rPr>
              <w:t>齐全。</w:t>
            </w:r>
          </w:p>
        </w:tc>
      </w:tr>
      <w:tr w14:paraId="6C40E80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trPr>
        <w:tc>
          <w:tcPr>
            <w:tcW w:w="994" w:type="dxa"/>
            <w:vMerge w:val="restart"/>
            <w:noWrap w:val="0"/>
            <w:vAlign w:val="center"/>
          </w:tcPr>
          <w:p w14:paraId="6994ED3E">
            <w:pPr>
              <w:keepNext w:val="0"/>
              <w:keepLines w:val="0"/>
              <w:pageBreakBefore w:val="0"/>
              <w:kinsoku/>
              <w:wordWrap/>
              <w:overflowPunct/>
              <w:topLinePunct w:val="0"/>
              <w:bidi w:val="0"/>
              <w:adjustRightInd/>
              <w:snapToGrid/>
              <w:spacing w:line="400" w:lineRule="exact"/>
              <w:jc w:val="center"/>
              <w:textAlignment w:val="auto"/>
              <w:rPr>
                <w:rFonts w:ascii="宋体" w:hAnsi="宋体"/>
                <w:highlight w:val="none"/>
              </w:rPr>
            </w:pPr>
            <w:r>
              <w:rPr>
                <w:rFonts w:ascii="宋体" w:hAnsi="宋体"/>
                <w:kern w:val="0"/>
                <w:highlight w:val="none"/>
              </w:rPr>
              <w:t>2.1.3</w:t>
            </w:r>
          </w:p>
        </w:tc>
        <w:tc>
          <w:tcPr>
            <w:tcW w:w="992" w:type="dxa"/>
            <w:vMerge w:val="restart"/>
            <w:noWrap w:val="0"/>
            <w:vAlign w:val="center"/>
          </w:tcPr>
          <w:p w14:paraId="0205A82C">
            <w:pPr>
              <w:keepNext w:val="0"/>
              <w:keepLines w:val="0"/>
              <w:pageBreakBefore w:val="0"/>
              <w:kinsoku/>
              <w:wordWrap/>
              <w:overflowPunct/>
              <w:topLinePunct w:val="0"/>
              <w:bidi w:val="0"/>
              <w:adjustRightInd/>
              <w:snapToGrid/>
              <w:spacing w:line="400" w:lineRule="exact"/>
              <w:jc w:val="center"/>
              <w:textAlignment w:val="auto"/>
              <w:rPr>
                <w:rFonts w:ascii="宋体" w:hAnsi="宋体"/>
                <w:highlight w:val="none"/>
              </w:rPr>
            </w:pPr>
            <w:r>
              <w:rPr>
                <w:rFonts w:ascii="宋体" w:hAnsi="宋体"/>
                <w:kern w:val="0"/>
                <w:highlight w:val="none"/>
              </w:rPr>
              <w:t>响应性评审标准</w:t>
            </w:r>
          </w:p>
        </w:tc>
        <w:tc>
          <w:tcPr>
            <w:tcW w:w="1690" w:type="dxa"/>
            <w:noWrap w:val="0"/>
            <w:vAlign w:val="center"/>
          </w:tcPr>
          <w:p w14:paraId="22F0ECC0">
            <w:pPr>
              <w:keepNext w:val="0"/>
              <w:keepLines w:val="0"/>
              <w:pageBreakBefore w:val="0"/>
              <w:kinsoku/>
              <w:wordWrap/>
              <w:overflowPunct/>
              <w:topLinePunct w:val="0"/>
              <w:bidi w:val="0"/>
              <w:adjustRightInd/>
              <w:snapToGrid/>
              <w:spacing w:line="400" w:lineRule="exact"/>
              <w:jc w:val="left"/>
              <w:textAlignment w:val="auto"/>
              <w:rPr>
                <w:rFonts w:ascii="宋体" w:hAnsi="宋体"/>
                <w:kern w:val="0"/>
                <w:highlight w:val="none"/>
              </w:rPr>
            </w:pPr>
            <w:r>
              <w:rPr>
                <w:rFonts w:ascii="宋体" w:hAnsi="宋体"/>
                <w:kern w:val="0"/>
                <w:highlight w:val="none"/>
              </w:rPr>
              <w:t>参选报价</w:t>
            </w:r>
          </w:p>
        </w:tc>
        <w:tc>
          <w:tcPr>
            <w:tcW w:w="5794" w:type="dxa"/>
            <w:noWrap w:val="0"/>
            <w:vAlign w:val="center"/>
          </w:tcPr>
          <w:p w14:paraId="2A157909">
            <w:pPr>
              <w:keepNext w:val="0"/>
              <w:keepLines w:val="0"/>
              <w:pageBreakBefore w:val="0"/>
              <w:kinsoku/>
              <w:wordWrap/>
              <w:overflowPunct/>
              <w:topLinePunct w:val="0"/>
              <w:bidi w:val="0"/>
              <w:adjustRightInd/>
              <w:snapToGrid/>
              <w:spacing w:line="400" w:lineRule="exact"/>
              <w:ind w:firstLine="420" w:firstLineChars="200"/>
              <w:textAlignment w:val="auto"/>
              <w:rPr>
                <w:rFonts w:hint="eastAsia" w:ascii="宋体" w:hAnsi="宋体" w:eastAsia="宋体"/>
                <w:kern w:val="0"/>
                <w:highlight w:val="none"/>
                <w:lang w:val="en-US" w:eastAsia="zh-CN"/>
              </w:rPr>
            </w:pPr>
            <w:r>
              <w:rPr>
                <w:rFonts w:hint="eastAsia" w:ascii="宋体" w:hAnsi="宋体"/>
                <w:kern w:val="0"/>
                <w:highlight w:val="none"/>
                <w:lang w:val="en-US" w:eastAsia="zh-CN"/>
              </w:rPr>
              <w:t>参选报价总报价不得高于总价最高限价，且每项单价报价均不得超过对应单价最高限价，否则均按无效报价处理，取消参选资格。</w:t>
            </w:r>
          </w:p>
        </w:tc>
      </w:tr>
      <w:tr w14:paraId="31C4141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994" w:type="dxa"/>
            <w:vMerge w:val="continue"/>
            <w:noWrap w:val="0"/>
            <w:vAlign w:val="center"/>
          </w:tcPr>
          <w:p w14:paraId="64F98663">
            <w:pPr>
              <w:keepNext w:val="0"/>
              <w:keepLines w:val="0"/>
              <w:pageBreakBefore w:val="0"/>
              <w:kinsoku/>
              <w:wordWrap/>
              <w:overflowPunct/>
              <w:topLinePunct w:val="0"/>
              <w:bidi w:val="0"/>
              <w:adjustRightInd/>
              <w:snapToGrid/>
              <w:spacing w:line="400" w:lineRule="exact"/>
              <w:jc w:val="center"/>
              <w:textAlignment w:val="auto"/>
              <w:rPr>
                <w:rFonts w:ascii="宋体" w:hAnsi="宋体"/>
                <w:kern w:val="0"/>
                <w:highlight w:val="none"/>
              </w:rPr>
            </w:pPr>
          </w:p>
        </w:tc>
        <w:tc>
          <w:tcPr>
            <w:tcW w:w="992" w:type="dxa"/>
            <w:vMerge w:val="continue"/>
            <w:noWrap w:val="0"/>
            <w:textDirection w:val="tbRlV"/>
            <w:vAlign w:val="center"/>
          </w:tcPr>
          <w:p w14:paraId="30A6E426">
            <w:pPr>
              <w:keepNext w:val="0"/>
              <w:keepLines w:val="0"/>
              <w:pageBreakBefore w:val="0"/>
              <w:kinsoku/>
              <w:wordWrap/>
              <w:overflowPunct/>
              <w:topLinePunct w:val="0"/>
              <w:bidi w:val="0"/>
              <w:adjustRightInd/>
              <w:snapToGrid/>
              <w:spacing w:line="400" w:lineRule="exact"/>
              <w:jc w:val="center"/>
              <w:textAlignment w:val="auto"/>
              <w:rPr>
                <w:rFonts w:ascii="宋体" w:hAnsi="宋体"/>
                <w:kern w:val="0"/>
                <w:highlight w:val="none"/>
              </w:rPr>
            </w:pPr>
          </w:p>
        </w:tc>
        <w:tc>
          <w:tcPr>
            <w:tcW w:w="1690" w:type="dxa"/>
            <w:noWrap w:val="0"/>
            <w:vAlign w:val="center"/>
          </w:tcPr>
          <w:p w14:paraId="41376036">
            <w:pPr>
              <w:keepNext w:val="0"/>
              <w:keepLines w:val="0"/>
              <w:pageBreakBefore w:val="0"/>
              <w:kinsoku/>
              <w:wordWrap/>
              <w:overflowPunct/>
              <w:topLinePunct w:val="0"/>
              <w:bidi w:val="0"/>
              <w:adjustRightInd/>
              <w:snapToGrid/>
              <w:spacing w:line="400" w:lineRule="exact"/>
              <w:jc w:val="left"/>
              <w:textAlignment w:val="auto"/>
              <w:rPr>
                <w:rFonts w:ascii="宋体" w:hAnsi="宋体"/>
                <w:kern w:val="0"/>
                <w:highlight w:val="none"/>
              </w:rPr>
            </w:pPr>
            <w:r>
              <w:rPr>
                <w:rFonts w:ascii="宋体" w:hAnsi="宋体"/>
                <w:kern w:val="0"/>
                <w:highlight w:val="none"/>
              </w:rPr>
              <w:t>参选内容</w:t>
            </w:r>
          </w:p>
        </w:tc>
        <w:tc>
          <w:tcPr>
            <w:tcW w:w="5794" w:type="dxa"/>
            <w:noWrap w:val="0"/>
            <w:vAlign w:val="center"/>
          </w:tcPr>
          <w:p w14:paraId="3C4899CF">
            <w:pPr>
              <w:keepNext w:val="0"/>
              <w:keepLines w:val="0"/>
              <w:pageBreakBefore w:val="0"/>
              <w:kinsoku/>
              <w:wordWrap/>
              <w:overflowPunct/>
              <w:topLinePunct w:val="0"/>
              <w:bidi w:val="0"/>
              <w:adjustRightInd/>
              <w:snapToGrid/>
              <w:spacing w:line="400" w:lineRule="exact"/>
              <w:ind w:firstLine="420" w:firstLineChars="200"/>
              <w:jc w:val="left"/>
              <w:textAlignment w:val="auto"/>
              <w:rPr>
                <w:rFonts w:ascii="宋体" w:hAnsi="宋体"/>
                <w:kern w:val="0"/>
                <w:highlight w:val="none"/>
              </w:rPr>
            </w:pPr>
            <w:r>
              <w:rPr>
                <w:rFonts w:ascii="宋体" w:hAnsi="宋体"/>
                <w:kern w:val="0"/>
                <w:highlight w:val="none"/>
              </w:rPr>
              <w:t>符合</w:t>
            </w:r>
            <w:r>
              <w:rPr>
                <w:rFonts w:hint="eastAsia" w:ascii="宋体" w:hAnsi="宋体"/>
                <w:kern w:val="0"/>
                <w:highlight w:val="none"/>
              </w:rPr>
              <w:t>“</w:t>
            </w:r>
            <w:r>
              <w:rPr>
                <w:rFonts w:hint="eastAsia" w:ascii="宋体" w:hAnsi="宋体"/>
                <w:kern w:val="0"/>
                <w:highlight w:val="none"/>
                <w:lang w:val="en-US" w:eastAsia="zh-CN"/>
              </w:rPr>
              <w:t>一</w:t>
            </w:r>
            <w:r>
              <w:rPr>
                <w:rFonts w:hint="default" w:ascii="宋体" w:hAnsi="宋体"/>
                <w:kern w:val="0"/>
                <w:highlight w:val="none"/>
                <w:lang w:val="en-US" w:eastAsia="zh-CN"/>
              </w:rPr>
              <w:t>、</w:t>
            </w:r>
            <w:r>
              <w:rPr>
                <w:rFonts w:hint="eastAsia" w:ascii="宋体" w:hAnsi="宋体"/>
                <w:kern w:val="0"/>
                <w:highlight w:val="none"/>
                <w:lang w:val="en-US" w:eastAsia="zh-CN"/>
              </w:rPr>
              <w:t>基本内容</w:t>
            </w:r>
            <w:r>
              <w:rPr>
                <w:rFonts w:hint="eastAsia" w:ascii="宋体" w:hAnsi="宋体"/>
                <w:kern w:val="0"/>
                <w:highlight w:val="none"/>
              </w:rPr>
              <w:t>”相关</w:t>
            </w:r>
            <w:r>
              <w:rPr>
                <w:rFonts w:ascii="宋体" w:hAnsi="宋体"/>
                <w:kern w:val="0"/>
                <w:highlight w:val="none"/>
              </w:rPr>
              <w:t>规定</w:t>
            </w:r>
          </w:p>
        </w:tc>
      </w:tr>
      <w:tr w14:paraId="5532A16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994" w:type="dxa"/>
            <w:vMerge w:val="continue"/>
            <w:noWrap w:val="0"/>
            <w:vAlign w:val="top"/>
          </w:tcPr>
          <w:p w14:paraId="6C2B3A89">
            <w:pPr>
              <w:keepNext w:val="0"/>
              <w:keepLines w:val="0"/>
              <w:pageBreakBefore w:val="0"/>
              <w:kinsoku/>
              <w:wordWrap/>
              <w:overflowPunct/>
              <w:topLinePunct w:val="0"/>
              <w:bidi w:val="0"/>
              <w:adjustRightInd/>
              <w:snapToGrid/>
              <w:spacing w:line="400" w:lineRule="exact"/>
              <w:jc w:val="center"/>
              <w:textAlignment w:val="auto"/>
              <w:rPr>
                <w:rFonts w:ascii="宋体" w:hAnsi="宋体"/>
                <w:highlight w:val="none"/>
              </w:rPr>
            </w:pPr>
          </w:p>
        </w:tc>
        <w:tc>
          <w:tcPr>
            <w:tcW w:w="992" w:type="dxa"/>
            <w:vMerge w:val="continue"/>
            <w:noWrap w:val="0"/>
            <w:vAlign w:val="top"/>
          </w:tcPr>
          <w:p w14:paraId="7D6A2755">
            <w:pPr>
              <w:keepNext w:val="0"/>
              <w:keepLines w:val="0"/>
              <w:pageBreakBefore w:val="0"/>
              <w:kinsoku/>
              <w:wordWrap/>
              <w:overflowPunct/>
              <w:topLinePunct w:val="0"/>
              <w:bidi w:val="0"/>
              <w:adjustRightInd/>
              <w:snapToGrid/>
              <w:spacing w:line="400" w:lineRule="exact"/>
              <w:jc w:val="center"/>
              <w:textAlignment w:val="auto"/>
              <w:rPr>
                <w:rFonts w:ascii="宋体" w:hAnsi="宋体"/>
                <w:highlight w:val="none"/>
              </w:rPr>
            </w:pPr>
          </w:p>
        </w:tc>
        <w:tc>
          <w:tcPr>
            <w:tcW w:w="1690" w:type="dxa"/>
            <w:noWrap w:val="0"/>
            <w:vAlign w:val="center"/>
          </w:tcPr>
          <w:p w14:paraId="7062C9E0">
            <w:pPr>
              <w:keepNext w:val="0"/>
              <w:keepLines w:val="0"/>
              <w:pageBreakBefore w:val="0"/>
              <w:kinsoku/>
              <w:wordWrap/>
              <w:overflowPunct/>
              <w:topLinePunct w:val="0"/>
              <w:bidi w:val="0"/>
              <w:adjustRightInd/>
              <w:snapToGrid/>
              <w:spacing w:line="400" w:lineRule="exact"/>
              <w:textAlignment w:val="auto"/>
              <w:rPr>
                <w:rFonts w:ascii="宋体" w:hAnsi="宋体"/>
                <w:kern w:val="0"/>
                <w:highlight w:val="none"/>
              </w:rPr>
            </w:pPr>
            <w:r>
              <w:rPr>
                <w:rFonts w:hint="eastAsia" w:ascii="宋体" w:hAnsi="宋体"/>
                <w:kern w:val="0"/>
                <w:highlight w:val="none"/>
              </w:rPr>
              <w:t>工期</w:t>
            </w:r>
          </w:p>
        </w:tc>
        <w:tc>
          <w:tcPr>
            <w:tcW w:w="5794" w:type="dxa"/>
            <w:noWrap w:val="0"/>
            <w:vAlign w:val="center"/>
          </w:tcPr>
          <w:p w14:paraId="64C6E8B6">
            <w:pPr>
              <w:keepNext w:val="0"/>
              <w:keepLines w:val="0"/>
              <w:pageBreakBefore w:val="0"/>
              <w:kinsoku/>
              <w:wordWrap/>
              <w:overflowPunct/>
              <w:topLinePunct w:val="0"/>
              <w:bidi w:val="0"/>
              <w:adjustRightInd/>
              <w:snapToGrid/>
              <w:spacing w:line="400" w:lineRule="exact"/>
              <w:ind w:firstLine="420" w:firstLineChars="200"/>
              <w:jc w:val="left"/>
              <w:textAlignment w:val="auto"/>
              <w:rPr>
                <w:rFonts w:ascii="宋体" w:hAnsi="宋体"/>
                <w:kern w:val="0"/>
                <w:highlight w:val="none"/>
              </w:rPr>
            </w:pPr>
            <w:r>
              <w:rPr>
                <w:rFonts w:hint="eastAsia" w:ascii="宋体" w:hAnsi="宋体"/>
                <w:kern w:val="0"/>
                <w:highlight w:val="none"/>
              </w:rPr>
              <w:t>符合“</w:t>
            </w:r>
            <w:r>
              <w:rPr>
                <w:rFonts w:hint="eastAsia" w:ascii="宋体" w:hAnsi="宋体"/>
                <w:kern w:val="0"/>
                <w:highlight w:val="none"/>
                <w:lang w:val="en-US" w:eastAsia="zh-CN"/>
              </w:rPr>
              <w:t>一</w:t>
            </w:r>
            <w:r>
              <w:rPr>
                <w:rFonts w:hint="default" w:ascii="宋体" w:hAnsi="宋体"/>
                <w:kern w:val="0"/>
                <w:highlight w:val="none"/>
                <w:lang w:val="en-US" w:eastAsia="zh-CN"/>
              </w:rPr>
              <w:t>、</w:t>
            </w:r>
            <w:r>
              <w:rPr>
                <w:rFonts w:hint="eastAsia" w:ascii="宋体" w:hAnsi="宋体"/>
                <w:kern w:val="0"/>
                <w:highlight w:val="none"/>
                <w:lang w:val="en-US" w:eastAsia="zh-CN"/>
              </w:rPr>
              <w:t>基本内容</w:t>
            </w:r>
            <w:r>
              <w:rPr>
                <w:rFonts w:hint="eastAsia" w:ascii="宋体" w:hAnsi="宋体"/>
                <w:kern w:val="0"/>
                <w:highlight w:val="none"/>
              </w:rPr>
              <w:t>”相关规定</w:t>
            </w:r>
          </w:p>
        </w:tc>
      </w:tr>
      <w:tr w14:paraId="7C917B1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224" w:hRule="atLeast"/>
          <w:jc w:val="center"/>
        </w:trPr>
        <w:tc>
          <w:tcPr>
            <w:tcW w:w="1986" w:type="dxa"/>
            <w:gridSpan w:val="2"/>
            <w:noWrap w:val="0"/>
            <w:vAlign w:val="center"/>
          </w:tcPr>
          <w:p w14:paraId="33A5E170">
            <w:pPr>
              <w:keepNext w:val="0"/>
              <w:keepLines w:val="0"/>
              <w:pageBreakBefore w:val="0"/>
              <w:kinsoku/>
              <w:wordWrap/>
              <w:overflowPunct/>
              <w:topLinePunct w:val="0"/>
              <w:bidi w:val="0"/>
              <w:adjustRightInd/>
              <w:snapToGrid/>
              <w:spacing w:line="400" w:lineRule="exact"/>
              <w:ind w:firstLine="210" w:firstLineChars="100"/>
              <w:jc w:val="center"/>
              <w:textAlignment w:val="auto"/>
              <w:rPr>
                <w:rFonts w:ascii="宋体" w:hAnsi="宋体"/>
                <w:kern w:val="0"/>
                <w:highlight w:val="none"/>
              </w:rPr>
            </w:pPr>
            <w:r>
              <w:rPr>
                <w:rFonts w:ascii="宋体" w:hAnsi="宋体"/>
                <w:kern w:val="0"/>
                <w:highlight w:val="none"/>
              </w:rPr>
              <w:t>2.2.1</w:t>
            </w:r>
          </w:p>
        </w:tc>
        <w:tc>
          <w:tcPr>
            <w:tcW w:w="1690" w:type="dxa"/>
            <w:noWrap w:val="0"/>
            <w:vAlign w:val="center"/>
          </w:tcPr>
          <w:p w14:paraId="56378F64">
            <w:pPr>
              <w:keepNext w:val="0"/>
              <w:keepLines w:val="0"/>
              <w:pageBreakBefore w:val="0"/>
              <w:tabs>
                <w:tab w:val="left" w:pos="1875"/>
              </w:tabs>
              <w:kinsoku/>
              <w:wordWrap/>
              <w:overflowPunct/>
              <w:topLinePunct w:val="0"/>
              <w:bidi w:val="0"/>
              <w:adjustRightInd/>
              <w:snapToGrid/>
              <w:spacing w:line="400" w:lineRule="exact"/>
              <w:jc w:val="center"/>
              <w:textAlignment w:val="auto"/>
              <w:rPr>
                <w:rFonts w:ascii="宋体" w:hAnsi="宋体"/>
                <w:kern w:val="0"/>
                <w:highlight w:val="none"/>
              </w:rPr>
            </w:pPr>
            <w:r>
              <w:rPr>
                <w:rFonts w:ascii="宋体" w:hAnsi="宋体"/>
                <w:kern w:val="0"/>
                <w:highlight w:val="none"/>
              </w:rPr>
              <w:t>分值构成 （总分1</w:t>
            </w:r>
            <w:r>
              <w:rPr>
                <w:rFonts w:hint="eastAsia" w:ascii="宋体" w:hAnsi="宋体"/>
                <w:kern w:val="0"/>
                <w:highlight w:val="none"/>
              </w:rPr>
              <w:t>00</w:t>
            </w:r>
            <w:r>
              <w:rPr>
                <w:rFonts w:ascii="宋体" w:hAnsi="宋体"/>
                <w:kern w:val="0"/>
                <w:highlight w:val="none"/>
              </w:rPr>
              <w:t>分）</w:t>
            </w:r>
          </w:p>
        </w:tc>
        <w:tc>
          <w:tcPr>
            <w:tcW w:w="5794" w:type="dxa"/>
            <w:noWrap w:val="0"/>
            <w:vAlign w:val="center"/>
          </w:tcPr>
          <w:p w14:paraId="67463299">
            <w:pPr>
              <w:keepNext w:val="0"/>
              <w:keepLines w:val="0"/>
              <w:pageBreakBefore w:val="0"/>
              <w:kinsoku/>
              <w:wordWrap/>
              <w:overflowPunct/>
              <w:topLinePunct w:val="0"/>
              <w:bidi w:val="0"/>
              <w:adjustRightInd/>
              <w:snapToGrid/>
              <w:spacing w:line="400" w:lineRule="exact"/>
              <w:ind w:firstLine="420" w:firstLineChars="200"/>
              <w:textAlignment w:val="auto"/>
              <w:rPr>
                <w:rFonts w:ascii="宋体" w:hAnsi="宋体"/>
                <w:kern w:val="0"/>
                <w:highlight w:val="none"/>
              </w:rPr>
            </w:pPr>
            <w:r>
              <w:rPr>
                <w:rFonts w:ascii="宋体" w:hAnsi="宋体"/>
                <w:kern w:val="0"/>
                <w:highlight w:val="none"/>
              </w:rPr>
              <w:t>1.</w:t>
            </w:r>
            <w:r>
              <w:rPr>
                <w:rFonts w:hint="eastAsia" w:ascii="宋体" w:hAnsi="宋体"/>
                <w:kern w:val="0"/>
                <w:highlight w:val="none"/>
              </w:rPr>
              <w:t>技术部分</w:t>
            </w:r>
            <w:r>
              <w:rPr>
                <w:rFonts w:hint="eastAsia" w:ascii="宋体" w:hAnsi="宋体"/>
                <w:kern w:val="0"/>
                <w:highlight w:val="none"/>
                <w:lang w:val="en-US" w:eastAsia="zh-CN"/>
              </w:rPr>
              <w:t>40</w:t>
            </w:r>
            <w:r>
              <w:rPr>
                <w:rFonts w:ascii="宋体" w:hAnsi="宋体"/>
                <w:kern w:val="0"/>
                <w:highlight w:val="none"/>
              </w:rPr>
              <w:t>分</w:t>
            </w:r>
            <w:r>
              <w:rPr>
                <w:rFonts w:hint="eastAsia" w:ascii="宋体" w:hAnsi="宋体"/>
                <w:kern w:val="0"/>
                <w:highlight w:val="none"/>
              </w:rPr>
              <w:t>；</w:t>
            </w:r>
          </w:p>
          <w:p w14:paraId="1A58B077">
            <w:pPr>
              <w:keepNext w:val="0"/>
              <w:keepLines w:val="0"/>
              <w:pageBreakBefore w:val="0"/>
              <w:kinsoku/>
              <w:wordWrap/>
              <w:overflowPunct/>
              <w:topLinePunct w:val="0"/>
              <w:bidi w:val="0"/>
              <w:adjustRightInd/>
              <w:snapToGrid/>
              <w:spacing w:line="400" w:lineRule="exact"/>
              <w:ind w:firstLine="420" w:firstLineChars="200"/>
              <w:textAlignment w:val="auto"/>
              <w:rPr>
                <w:rFonts w:ascii="宋体" w:hAnsi="宋体"/>
                <w:kern w:val="0"/>
                <w:highlight w:val="none"/>
              </w:rPr>
            </w:pPr>
            <w:r>
              <w:rPr>
                <w:rFonts w:ascii="宋体" w:hAnsi="宋体"/>
                <w:kern w:val="0"/>
                <w:highlight w:val="none"/>
              </w:rPr>
              <w:t>3.参选</w:t>
            </w:r>
            <w:r>
              <w:rPr>
                <w:rFonts w:hint="eastAsia" w:ascii="宋体" w:hAnsi="宋体"/>
                <w:kern w:val="0"/>
                <w:highlight w:val="none"/>
              </w:rPr>
              <w:t>报价</w:t>
            </w:r>
            <w:r>
              <w:rPr>
                <w:rFonts w:ascii="宋体" w:hAnsi="宋体"/>
                <w:kern w:val="0"/>
                <w:highlight w:val="none"/>
              </w:rPr>
              <w:t>60</w:t>
            </w:r>
            <w:r>
              <w:rPr>
                <w:rFonts w:hint="eastAsia" w:ascii="宋体" w:hAnsi="宋体"/>
                <w:kern w:val="0"/>
                <w:highlight w:val="none"/>
              </w:rPr>
              <w:t>分。</w:t>
            </w:r>
          </w:p>
        </w:tc>
      </w:tr>
      <w:tr w14:paraId="14973C8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1055" w:hRule="atLeast"/>
          <w:jc w:val="center"/>
        </w:trPr>
        <w:tc>
          <w:tcPr>
            <w:tcW w:w="994" w:type="dxa"/>
            <w:tcBorders>
              <w:right w:val="single" w:color="auto" w:sz="4" w:space="0"/>
            </w:tcBorders>
            <w:noWrap w:val="0"/>
            <w:vAlign w:val="center"/>
          </w:tcPr>
          <w:p w14:paraId="7ADFDF7C">
            <w:pPr>
              <w:keepNext w:val="0"/>
              <w:keepLines w:val="0"/>
              <w:pageBreakBefore w:val="0"/>
              <w:kinsoku/>
              <w:wordWrap/>
              <w:overflowPunct/>
              <w:topLinePunct w:val="0"/>
              <w:bidi w:val="0"/>
              <w:adjustRightInd/>
              <w:snapToGrid/>
              <w:spacing w:line="400" w:lineRule="exact"/>
              <w:jc w:val="center"/>
              <w:textAlignment w:val="auto"/>
              <w:rPr>
                <w:rFonts w:ascii="宋体" w:hAnsi="宋体"/>
                <w:kern w:val="0"/>
                <w:highlight w:val="none"/>
              </w:rPr>
            </w:pPr>
            <w:r>
              <w:rPr>
                <w:rFonts w:hint="eastAsia" w:ascii="宋体" w:hAnsi="宋体"/>
                <w:kern w:val="0"/>
                <w:highlight w:val="none"/>
              </w:rPr>
              <w:t>2.2.2（1）</w:t>
            </w:r>
          </w:p>
        </w:tc>
        <w:tc>
          <w:tcPr>
            <w:tcW w:w="992" w:type="dxa"/>
            <w:tcBorders>
              <w:left w:val="single" w:color="auto" w:sz="4" w:space="0"/>
            </w:tcBorders>
            <w:noWrap w:val="0"/>
            <w:vAlign w:val="center"/>
          </w:tcPr>
          <w:p w14:paraId="6ADF74B1">
            <w:pPr>
              <w:keepNext w:val="0"/>
              <w:keepLines w:val="0"/>
              <w:pageBreakBefore w:val="0"/>
              <w:kinsoku/>
              <w:wordWrap/>
              <w:overflowPunct/>
              <w:topLinePunct w:val="0"/>
              <w:bidi w:val="0"/>
              <w:adjustRightInd/>
              <w:snapToGrid/>
              <w:spacing w:line="400" w:lineRule="exact"/>
              <w:jc w:val="center"/>
              <w:textAlignment w:val="auto"/>
              <w:rPr>
                <w:rFonts w:ascii="宋体" w:hAnsi="宋体"/>
                <w:kern w:val="0"/>
                <w:highlight w:val="none"/>
              </w:rPr>
            </w:pPr>
            <w:r>
              <w:rPr>
                <w:rFonts w:hint="eastAsia" w:ascii="宋体" w:hAnsi="宋体"/>
                <w:kern w:val="0"/>
                <w:highlight w:val="none"/>
              </w:rPr>
              <w:t>技术部分评分标准</w:t>
            </w:r>
          </w:p>
        </w:tc>
        <w:tc>
          <w:tcPr>
            <w:tcW w:w="1690" w:type="dxa"/>
            <w:noWrap w:val="0"/>
            <w:vAlign w:val="center"/>
          </w:tcPr>
          <w:p w14:paraId="3F418106">
            <w:pPr>
              <w:keepNext w:val="0"/>
              <w:keepLines w:val="0"/>
              <w:pageBreakBefore w:val="0"/>
              <w:tabs>
                <w:tab w:val="left" w:pos="1875"/>
              </w:tabs>
              <w:kinsoku/>
              <w:wordWrap/>
              <w:overflowPunct/>
              <w:topLinePunct w:val="0"/>
              <w:bidi w:val="0"/>
              <w:adjustRightInd/>
              <w:snapToGrid/>
              <w:spacing w:line="400" w:lineRule="exact"/>
              <w:jc w:val="center"/>
              <w:textAlignment w:val="auto"/>
              <w:rPr>
                <w:rFonts w:ascii="宋体" w:hAnsi="宋体"/>
                <w:kern w:val="0"/>
                <w:highlight w:val="none"/>
              </w:rPr>
            </w:pPr>
            <w:r>
              <w:rPr>
                <w:rFonts w:ascii="宋体" w:hAnsi="宋体"/>
                <w:kern w:val="0"/>
                <w:highlight w:val="none"/>
              </w:rPr>
              <w:t>技术</w:t>
            </w:r>
            <w:r>
              <w:rPr>
                <w:rFonts w:hint="eastAsia" w:ascii="宋体" w:hAnsi="宋体"/>
                <w:kern w:val="0"/>
                <w:highlight w:val="none"/>
              </w:rPr>
              <w:t>部分</w:t>
            </w:r>
            <w:r>
              <w:rPr>
                <w:rFonts w:ascii="宋体" w:hAnsi="宋体"/>
                <w:kern w:val="0"/>
                <w:highlight w:val="none"/>
              </w:rPr>
              <w:t>评审</w:t>
            </w:r>
            <w:r>
              <w:rPr>
                <w:rFonts w:hint="eastAsia" w:ascii="宋体" w:hAnsi="宋体"/>
                <w:kern w:val="0"/>
                <w:highlight w:val="none"/>
              </w:rPr>
              <w:t>标准</w:t>
            </w:r>
          </w:p>
        </w:tc>
        <w:tc>
          <w:tcPr>
            <w:tcW w:w="5794" w:type="dxa"/>
            <w:noWrap w:val="0"/>
            <w:vAlign w:val="top"/>
          </w:tcPr>
          <w:p w14:paraId="36CA25E0">
            <w:pPr>
              <w:keepNext w:val="0"/>
              <w:keepLines w:val="0"/>
              <w:pageBreakBefore w:val="0"/>
              <w:widowControl/>
              <w:kinsoku/>
              <w:wordWrap/>
              <w:overflowPunct/>
              <w:topLinePunct w:val="0"/>
              <w:bidi w:val="0"/>
              <w:adjustRightInd/>
              <w:snapToGrid/>
              <w:spacing w:line="400" w:lineRule="exact"/>
              <w:ind w:firstLine="420" w:firstLineChars="200"/>
              <w:textAlignment w:val="auto"/>
              <w:rPr>
                <w:rFonts w:hint="eastAsia" w:ascii="宋体" w:hAnsi="宋体"/>
                <w:snapToGrid w:val="0"/>
                <w:color w:val="000000"/>
                <w:kern w:val="0"/>
                <w:szCs w:val="21"/>
                <w:highlight w:val="none"/>
                <w:u w:val="single"/>
                <w:lang w:val="en-US" w:eastAsia="zh-CN"/>
              </w:rPr>
            </w:pPr>
            <w:r>
              <w:rPr>
                <w:rFonts w:hint="eastAsia" w:ascii="宋体" w:hAnsi="宋体"/>
                <w:kern w:val="0"/>
                <w:highlight w:val="none"/>
                <w:u w:val="none"/>
              </w:rPr>
              <w:t>根据必要的现状调查、市场调查及自身对项目的理解</w:t>
            </w:r>
            <w:r>
              <w:rPr>
                <w:rFonts w:hint="eastAsia" w:ascii="宋体" w:hAnsi="宋体"/>
                <w:kern w:val="0"/>
                <w:highlight w:val="none"/>
                <w:u w:val="none"/>
                <w:lang w:eastAsia="zh-CN"/>
              </w:rPr>
              <w:t>，</w:t>
            </w:r>
            <w:r>
              <w:rPr>
                <w:rFonts w:hint="eastAsia" w:ascii="宋体" w:hAnsi="宋体"/>
                <w:snapToGrid w:val="0"/>
                <w:color w:val="000000"/>
                <w:kern w:val="0"/>
                <w:szCs w:val="21"/>
                <w:highlight w:val="none"/>
                <w:u w:val="none"/>
                <w:lang w:val="en-US" w:eastAsia="zh-CN"/>
              </w:rPr>
              <w:t>综合项目现状编制参选技术方案，内容包括但不限于：该项目参选人须对项目现状进行初步勘测、调查、评估（参选人自行组织踏勘调研），对本次参选项目所涉及内容有基础了解，综合项目现状编制参选技术方案，内容包括但不限于：</w:t>
            </w:r>
            <w:r>
              <w:rPr>
                <w:rFonts w:hint="eastAsia" w:ascii="宋体" w:hAnsi="宋体"/>
                <w:snapToGrid w:val="0"/>
                <w:color w:val="000000"/>
                <w:kern w:val="0"/>
                <w:szCs w:val="21"/>
                <w:highlight w:val="none"/>
                <w:u w:val="single"/>
                <w:lang w:val="en-US" w:eastAsia="zh-CN"/>
              </w:rPr>
              <w:t>一是对</w:t>
            </w:r>
            <w:r>
              <w:rPr>
                <w:rFonts w:hint="eastAsia" w:ascii="宋体" w:hAnsi="宋体"/>
                <w:snapToGrid w:val="0"/>
                <w:kern w:val="0"/>
                <w:szCs w:val="21"/>
                <w:highlight w:val="none"/>
                <w:u w:val="single"/>
                <w:lang w:val="en-US" w:eastAsia="zh-CN"/>
              </w:rPr>
              <w:t>阿依河景区</w:t>
            </w:r>
            <w:r>
              <w:rPr>
                <w:rFonts w:hint="eastAsia" w:ascii="宋体" w:hAnsi="宋体"/>
                <w:snapToGrid w:val="0"/>
                <w:color w:val="000000"/>
                <w:kern w:val="0"/>
                <w:szCs w:val="21"/>
                <w:highlight w:val="none"/>
                <w:u w:val="single"/>
                <w:lang w:val="en-US" w:eastAsia="zh-CN"/>
              </w:rPr>
              <w:t>原老化屏的拆除，主屏、耳屏、底屏采购及安装、配套系统调试等的设置提出布局思路、所达到的效果，以及技术服务工作大纲。二是在工程施作方面需要提供施工方案。格式自拟。</w:t>
            </w:r>
          </w:p>
          <w:p w14:paraId="23815F8B">
            <w:pPr>
              <w:keepNext w:val="0"/>
              <w:keepLines w:val="0"/>
              <w:pageBreakBefore w:val="0"/>
              <w:widowControl/>
              <w:kinsoku/>
              <w:wordWrap/>
              <w:overflowPunct/>
              <w:topLinePunct w:val="0"/>
              <w:bidi w:val="0"/>
              <w:adjustRightInd/>
              <w:snapToGrid/>
              <w:spacing w:line="400" w:lineRule="exact"/>
              <w:ind w:firstLine="420" w:firstLineChars="200"/>
              <w:textAlignment w:val="auto"/>
              <w:rPr>
                <w:rFonts w:ascii="宋体" w:hAnsi="宋体"/>
                <w:kern w:val="0"/>
                <w:highlight w:val="none"/>
              </w:rPr>
            </w:pPr>
            <w:r>
              <w:rPr>
                <w:rFonts w:hint="eastAsia" w:ascii="宋体" w:hAnsi="宋体"/>
                <w:lang w:val="en-US" w:eastAsia="zh-CN"/>
              </w:rPr>
              <w:t>综合评价后按如下标准打分：</w:t>
            </w:r>
            <w:r>
              <w:rPr>
                <w:rFonts w:hint="eastAsia" w:ascii="宋体" w:hAnsi="宋体"/>
              </w:rPr>
              <w:t>优：</w:t>
            </w:r>
            <w:r>
              <w:rPr>
                <w:rFonts w:hint="eastAsia" w:ascii="宋体" w:hAnsi="宋体"/>
                <w:lang w:val="en-US" w:eastAsia="zh-CN"/>
              </w:rPr>
              <w:t>40-30</w:t>
            </w:r>
            <w:r>
              <w:rPr>
                <w:rFonts w:hint="eastAsia" w:ascii="宋体" w:hAnsi="宋体"/>
              </w:rPr>
              <w:t>分</w:t>
            </w:r>
            <w:r>
              <w:rPr>
                <w:rFonts w:hint="eastAsia" w:ascii="宋体" w:hAnsi="宋体"/>
                <w:lang w:eastAsia="zh-CN"/>
              </w:rPr>
              <w:t>；</w:t>
            </w:r>
            <w:r>
              <w:rPr>
                <w:rFonts w:hint="eastAsia" w:ascii="宋体" w:hAnsi="宋体"/>
              </w:rPr>
              <w:t>良：</w:t>
            </w:r>
            <w:r>
              <w:rPr>
                <w:rFonts w:hint="eastAsia" w:ascii="宋体" w:hAnsi="宋体"/>
                <w:lang w:val="en-US" w:eastAsia="zh-CN"/>
              </w:rPr>
              <w:t>30（不含）</w:t>
            </w:r>
            <w:r>
              <w:rPr>
                <w:rFonts w:hint="eastAsia" w:ascii="宋体" w:hAnsi="宋体"/>
              </w:rPr>
              <w:t>-</w:t>
            </w:r>
            <w:r>
              <w:rPr>
                <w:rFonts w:hint="eastAsia" w:ascii="宋体" w:hAnsi="宋体"/>
                <w:lang w:val="en-US" w:eastAsia="zh-CN"/>
              </w:rPr>
              <w:t>15</w:t>
            </w:r>
            <w:r>
              <w:rPr>
                <w:rFonts w:hint="eastAsia" w:ascii="宋体" w:hAnsi="宋体"/>
              </w:rPr>
              <w:t>分</w:t>
            </w:r>
            <w:r>
              <w:rPr>
                <w:rFonts w:hint="eastAsia" w:ascii="宋体" w:hAnsi="宋体"/>
                <w:lang w:eastAsia="zh-CN"/>
              </w:rPr>
              <w:t>；</w:t>
            </w:r>
            <w:r>
              <w:rPr>
                <w:rFonts w:hint="eastAsia" w:ascii="宋体" w:hAnsi="宋体"/>
              </w:rPr>
              <w:t>一般：</w:t>
            </w:r>
            <w:r>
              <w:rPr>
                <w:rFonts w:hint="eastAsia" w:ascii="宋体" w:hAnsi="宋体"/>
                <w:lang w:val="en-US" w:eastAsia="zh-CN"/>
              </w:rPr>
              <w:t>15（不含）-5</w:t>
            </w:r>
            <w:r>
              <w:rPr>
                <w:rFonts w:hint="eastAsia" w:ascii="宋体" w:hAnsi="宋体"/>
              </w:rPr>
              <w:t>分,差：</w:t>
            </w:r>
            <w:r>
              <w:rPr>
                <w:rFonts w:hint="eastAsia" w:ascii="宋体" w:hAnsi="宋体"/>
                <w:lang w:val="en-US" w:eastAsia="zh-CN"/>
              </w:rPr>
              <w:t>5分</w:t>
            </w:r>
            <w:r>
              <w:rPr>
                <w:rFonts w:hint="eastAsia" w:ascii="宋体" w:hAnsi="宋体"/>
              </w:rPr>
              <w:t>(不含)</w:t>
            </w:r>
            <w:r>
              <w:rPr>
                <w:rFonts w:hint="eastAsia" w:ascii="宋体" w:hAnsi="宋体"/>
                <w:lang w:val="en-US" w:eastAsia="zh-CN"/>
              </w:rPr>
              <w:t>-0</w:t>
            </w:r>
            <w:r>
              <w:rPr>
                <w:rFonts w:hint="eastAsia" w:ascii="宋体" w:hAnsi="宋体"/>
              </w:rPr>
              <w:t>分</w:t>
            </w:r>
            <w:r>
              <w:rPr>
                <w:rFonts w:hint="eastAsia" w:ascii="宋体" w:hAnsi="宋体"/>
                <w:lang w:eastAsia="zh-CN"/>
              </w:rPr>
              <w:t>。</w:t>
            </w:r>
          </w:p>
        </w:tc>
      </w:tr>
      <w:tr w14:paraId="7F603E9B">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cantSplit/>
          <w:trHeight w:val="567" w:hRule="atLeast"/>
          <w:jc w:val="center"/>
        </w:trPr>
        <w:tc>
          <w:tcPr>
            <w:tcW w:w="994" w:type="dxa"/>
            <w:noWrap w:val="0"/>
            <w:vAlign w:val="center"/>
          </w:tcPr>
          <w:p w14:paraId="165529D0">
            <w:pPr>
              <w:keepNext w:val="0"/>
              <w:keepLines w:val="0"/>
              <w:pageBreakBefore w:val="0"/>
              <w:kinsoku/>
              <w:wordWrap/>
              <w:overflowPunct/>
              <w:topLinePunct w:val="0"/>
              <w:bidi w:val="0"/>
              <w:adjustRightInd/>
              <w:snapToGrid/>
              <w:spacing w:line="400" w:lineRule="exact"/>
              <w:jc w:val="center"/>
              <w:textAlignment w:val="auto"/>
              <w:rPr>
                <w:rFonts w:ascii="宋体" w:hAnsi="宋体"/>
                <w:kern w:val="0"/>
                <w:highlight w:val="none"/>
              </w:rPr>
            </w:pPr>
            <w:r>
              <w:rPr>
                <w:rFonts w:ascii="宋体" w:hAnsi="宋体"/>
                <w:highlight w:val="none"/>
              </w:rPr>
              <w:t>3</w:t>
            </w:r>
          </w:p>
        </w:tc>
        <w:tc>
          <w:tcPr>
            <w:tcW w:w="992" w:type="dxa"/>
            <w:noWrap w:val="0"/>
            <w:vAlign w:val="center"/>
          </w:tcPr>
          <w:p w14:paraId="608203ED">
            <w:pPr>
              <w:keepNext w:val="0"/>
              <w:keepLines w:val="0"/>
              <w:pageBreakBefore w:val="0"/>
              <w:kinsoku/>
              <w:wordWrap/>
              <w:overflowPunct/>
              <w:topLinePunct w:val="0"/>
              <w:bidi w:val="0"/>
              <w:adjustRightInd/>
              <w:snapToGrid/>
              <w:spacing w:line="400" w:lineRule="exact"/>
              <w:jc w:val="center"/>
              <w:textAlignment w:val="auto"/>
              <w:rPr>
                <w:rFonts w:ascii="宋体" w:hAnsi="宋体"/>
                <w:kern w:val="0"/>
                <w:highlight w:val="none"/>
              </w:rPr>
            </w:pPr>
            <w:r>
              <w:rPr>
                <w:rFonts w:ascii="宋体" w:hAnsi="宋体"/>
                <w:highlight w:val="none"/>
              </w:rPr>
              <w:t>评标程序</w:t>
            </w:r>
          </w:p>
        </w:tc>
        <w:tc>
          <w:tcPr>
            <w:tcW w:w="7484" w:type="dxa"/>
            <w:gridSpan w:val="2"/>
            <w:noWrap w:val="0"/>
            <w:vAlign w:val="top"/>
          </w:tcPr>
          <w:p w14:paraId="0FABA1B8">
            <w:pPr>
              <w:keepNext w:val="0"/>
              <w:keepLines w:val="0"/>
              <w:pageBreakBefore w:val="0"/>
              <w:kinsoku/>
              <w:wordWrap/>
              <w:overflowPunct/>
              <w:topLinePunct w:val="0"/>
              <w:bidi w:val="0"/>
              <w:adjustRightInd/>
              <w:snapToGrid/>
              <w:spacing w:line="400" w:lineRule="exact"/>
              <w:ind w:firstLine="420" w:firstLineChars="200"/>
              <w:textAlignment w:val="auto"/>
              <w:rPr>
                <w:rFonts w:ascii="宋体" w:hAnsi="宋体"/>
                <w:szCs w:val="21"/>
                <w:highlight w:val="none"/>
              </w:rPr>
            </w:pPr>
            <w:r>
              <w:rPr>
                <w:rFonts w:hint="eastAsia" w:ascii="宋体" w:hAnsi="宋体"/>
                <w:szCs w:val="21"/>
                <w:highlight w:val="none"/>
              </w:rPr>
              <w:t>1.资格不满足要求或公开比选委员会认定为无效的参选文件的不进行后续评审。</w:t>
            </w:r>
          </w:p>
          <w:p w14:paraId="6A1A9A37">
            <w:pPr>
              <w:keepNext w:val="0"/>
              <w:keepLines w:val="0"/>
              <w:pageBreakBefore w:val="0"/>
              <w:kinsoku/>
              <w:wordWrap/>
              <w:overflowPunct/>
              <w:topLinePunct w:val="0"/>
              <w:bidi w:val="0"/>
              <w:adjustRightInd/>
              <w:snapToGrid/>
              <w:spacing w:line="400" w:lineRule="exact"/>
              <w:ind w:firstLine="420" w:firstLineChars="200"/>
              <w:textAlignment w:val="auto"/>
              <w:rPr>
                <w:rFonts w:ascii="宋体" w:hAnsi="宋体"/>
                <w:szCs w:val="21"/>
                <w:highlight w:val="none"/>
              </w:rPr>
            </w:pPr>
            <w:r>
              <w:rPr>
                <w:rFonts w:hint="eastAsia" w:ascii="宋体" w:hAnsi="宋体"/>
                <w:szCs w:val="21"/>
                <w:highlight w:val="none"/>
              </w:rPr>
              <w:t>2.按本章评标办法前附表第2.2.2项及第3.2.1目的规定对参选文件进行评审。</w:t>
            </w:r>
          </w:p>
          <w:p w14:paraId="6CAE8689">
            <w:pPr>
              <w:keepNext w:val="0"/>
              <w:keepLines w:val="0"/>
              <w:pageBreakBefore w:val="0"/>
              <w:kinsoku/>
              <w:wordWrap/>
              <w:overflowPunct/>
              <w:topLinePunct w:val="0"/>
              <w:bidi w:val="0"/>
              <w:adjustRightInd/>
              <w:snapToGrid/>
              <w:spacing w:line="400" w:lineRule="exact"/>
              <w:ind w:firstLine="420" w:firstLineChars="200"/>
              <w:textAlignment w:val="auto"/>
              <w:rPr>
                <w:rFonts w:ascii="宋体" w:hAnsi="宋体"/>
                <w:szCs w:val="21"/>
                <w:highlight w:val="none"/>
              </w:rPr>
            </w:pPr>
            <w:r>
              <w:rPr>
                <w:rFonts w:ascii="宋体" w:hAnsi="宋体"/>
                <w:szCs w:val="21"/>
                <w:highlight w:val="none"/>
              </w:rPr>
              <w:t>3</w:t>
            </w:r>
            <w:r>
              <w:rPr>
                <w:rFonts w:hint="eastAsia" w:ascii="宋体" w:hAnsi="宋体"/>
                <w:szCs w:val="21"/>
                <w:highlight w:val="none"/>
              </w:rPr>
              <w:t>.对初步评审合格的参选人按照本附表第3.2.1（</w:t>
            </w:r>
            <w:r>
              <w:rPr>
                <w:rFonts w:ascii="宋体" w:hAnsi="宋体"/>
                <w:szCs w:val="21"/>
                <w:highlight w:val="none"/>
              </w:rPr>
              <w:t>3</w:t>
            </w:r>
            <w:r>
              <w:rPr>
                <w:rFonts w:hint="eastAsia" w:ascii="宋体" w:hAnsi="宋体"/>
                <w:szCs w:val="21"/>
                <w:highlight w:val="none"/>
              </w:rPr>
              <w:t>）目规定的评分方法对参选报价进行评分。</w:t>
            </w:r>
          </w:p>
          <w:p w14:paraId="0849F171">
            <w:pPr>
              <w:keepNext w:val="0"/>
              <w:keepLines w:val="0"/>
              <w:pageBreakBefore w:val="0"/>
              <w:kinsoku/>
              <w:wordWrap/>
              <w:overflowPunct/>
              <w:topLinePunct w:val="0"/>
              <w:bidi w:val="0"/>
              <w:adjustRightInd/>
              <w:snapToGrid/>
              <w:spacing w:line="400" w:lineRule="exact"/>
              <w:ind w:firstLine="420" w:firstLineChars="200"/>
              <w:textAlignment w:val="auto"/>
              <w:rPr>
                <w:rFonts w:ascii="宋体" w:hAnsi="宋体"/>
                <w:szCs w:val="21"/>
                <w:highlight w:val="none"/>
              </w:rPr>
            </w:pPr>
            <w:r>
              <w:rPr>
                <w:rFonts w:ascii="宋体" w:hAnsi="宋体"/>
                <w:szCs w:val="21"/>
                <w:highlight w:val="none"/>
              </w:rPr>
              <w:t>4</w:t>
            </w:r>
            <w:r>
              <w:rPr>
                <w:rFonts w:hint="eastAsia" w:ascii="宋体" w:hAnsi="宋体"/>
                <w:szCs w:val="21"/>
                <w:highlight w:val="none"/>
              </w:rPr>
              <w:t>.对技术部分、商务部分、参选报价得分进行汇总，确定得分由高至低前三名参选人为中选候选人。</w:t>
            </w:r>
          </w:p>
        </w:tc>
      </w:tr>
      <w:tr w14:paraId="4227F0D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4" w:type="dxa"/>
            <w:noWrap w:val="0"/>
            <w:vAlign w:val="center"/>
          </w:tcPr>
          <w:p w14:paraId="615A7895">
            <w:pPr>
              <w:keepNext w:val="0"/>
              <w:keepLines w:val="0"/>
              <w:pageBreakBefore w:val="0"/>
              <w:kinsoku/>
              <w:wordWrap/>
              <w:overflowPunct/>
              <w:topLinePunct w:val="0"/>
              <w:bidi w:val="0"/>
              <w:adjustRightInd/>
              <w:snapToGrid/>
              <w:spacing w:line="400" w:lineRule="exact"/>
              <w:jc w:val="center"/>
              <w:textAlignment w:val="auto"/>
              <w:rPr>
                <w:rFonts w:ascii="宋体" w:hAnsi="宋体"/>
                <w:highlight w:val="none"/>
              </w:rPr>
            </w:pPr>
            <w:r>
              <w:rPr>
                <w:rFonts w:ascii="宋体" w:hAnsi="宋体"/>
                <w:highlight w:val="none"/>
              </w:rPr>
              <w:t>3.2.1</w:t>
            </w:r>
          </w:p>
          <w:p w14:paraId="5BA5B95B">
            <w:pPr>
              <w:keepNext w:val="0"/>
              <w:keepLines w:val="0"/>
              <w:pageBreakBefore w:val="0"/>
              <w:kinsoku/>
              <w:wordWrap/>
              <w:overflowPunct/>
              <w:topLinePunct w:val="0"/>
              <w:bidi w:val="0"/>
              <w:adjustRightInd/>
              <w:snapToGrid/>
              <w:spacing w:line="400" w:lineRule="exact"/>
              <w:jc w:val="center"/>
              <w:textAlignment w:val="auto"/>
              <w:rPr>
                <w:rFonts w:ascii="宋体" w:hAnsi="宋体"/>
                <w:highlight w:val="none"/>
              </w:rPr>
            </w:pPr>
            <w:r>
              <w:rPr>
                <w:rFonts w:ascii="宋体" w:hAnsi="宋体"/>
                <w:highlight w:val="none"/>
              </w:rPr>
              <w:t>（</w:t>
            </w:r>
            <w:r>
              <w:rPr>
                <w:rFonts w:hint="eastAsia" w:ascii="宋体" w:hAnsi="宋体"/>
                <w:highlight w:val="none"/>
              </w:rPr>
              <w:t>1</w:t>
            </w:r>
            <w:r>
              <w:rPr>
                <w:rFonts w:ascii="宋体" w:hAnsi="宋体"/>
                <w:highlight w:val="none"/>
              </w:rPr>
              <w:t>）</w:t>
            </w:r>
          </w:p>
        </w:tc>
        <w:tc>
          <w:tcPr>
            <w:tcW w:w="992" w:type="dxa"/>
            <w:noWrap w:val="0"/>
            <w:vAlign w:val="center"/>
          </w:tcPr>
          <w:p w14:paraId="1599C3B3">
            <w:pPr>
              <w:keepNext w:val="0"/>
              <w:keepLines w:val="0"/>
              <w:pageBreakBefore w:val="0"/>
              <w:kinsoku/>
              <w:wordWrap/>
              <w:overflowPunct/>
              <w:topLinePunct w:val="0"/>
              <w:bidi w:val="0"/>
              <w:adjustRightInd/>
              <w:snapToGrid/>
              <w:spacing w:line="400" w:lineRule="exact"/>
              <w:jc w:val="center"/>
              <w:textAlignment w:val="auto"/>
              <w:rPr>
                <w:rFonts w:ascii="宋体" w:hAnsi="宋体"/>
                <w:highlight w:val="none"/>
              </w:rPr>
            </w:pPr>
            <w:r>
              <w:rPr>
                <w:rFonts w:hint="eastAsia" w:ascii="宋体" w:hAnsi="宋体"/>
                <w:highlight w:val="none"/>
              </w:rPr>
              <w:t>技术部分</w:t>
            </w:r>
            <w:r>
              <w:rPr>
                <w:rFonts w:ascii="宋体" w:hAnsi="宋体"/>
                <w:kern w:val="0"/>
                <w:highlight w:val="none"/>
              </w:rPr>
              <w:t>得分</w:t>
            </w:r>
            <w:r>
              <w:rPr>
                <w:rFonts w:ascii="宋体" w:hAnsi="宋体"/>
                <w:spacing w:val="-4"/>
                <w:highlight w:val="none"/>
              </w:rPr>
              <w:t>（</w:t>
            </w:r>
            <w:r>
              <w:rPr>
                <w:rFonts w:hint="eastAsia" w:ascii="宋体" w:hAnsi="宋体"/>
                <w:spacing w:val="-4"/>
                <w:highlight w:val="none"/>
              </w:rPr>
              <w:t>A</w:t>
            </w:r>
            <w:r>
              <w:rPr>
                <w:rFonts w:ascii="宋体" w:hAnsi="宋体"/>
                <w:spacing w:val="-4"/>
                <w:highlight w:val="none"/>
              </w:rPr>
              <w:t>=</w:t>
            </w:r>
            <w:r>
              <w:rPr>
                <w:rFonts w:hint="eastAsia" w:ascii="宋体" w:hAnsi="宋体"/>
                <w:spacing w:val="-4"/>
                <w:highlight w:val="none"/>
                <w:lang w:val="en-US" w:eastAsia="zh-CN"/>
              </w:rPr>
              <w:t>40</w:t>
            </w:r>
            <w:r>
              <w:rPr>
                <w:rFonts w:ascii="宋体" w:hAnsi="宋体"/>
                <w:spacing w:val="-4"/>
                <w:highlight w:val="none"/>
              </w:rPr>
              <w:t>分</w:t>
            </w:r>
            <w:r>
              <w:rPr>
                <w:rFonts w:hint="eastAsia" w:ascii="宋体" w:hAnsi="宋体"/>
                <w:spacing w:val="-4"/>
                <w:highlight w:val="none"/>
              </w:rPr>
              <w:t>）</w:t>
            </w:r>
          </w:p>
        </w:tc>
        <w:tc>
          <w:tcPr>
            <w:tcW w:w="7484" w:type="dxa"/>
            <w:gridSpan w:val="2"/>
            <w:noWrap w:val="0"/>
            <w:vAlign w:val="center"/>
          </w:tcPr>
          <w:p w14:paraId="5B53C610">
            <w:pPr>
              <w:keepNext w:val="0"/>
              <w:keepLines w:val="0"/>
              <w:pageBreakBefore w:val="0"/>
              <w:kinsoku/>
              <w:wordWrap/>
              <w:overflowPunct/>
              <w:topLinePunct w:val="0"/>
              <w:autoSpaceDE w:val="0"/>
              <w:autoSpaceDN w:val="0"/>
              <w:bidi w:val="0"/>
              <w:adjustRightInd/>
              <w:snapToGrid/>
              <w:spacing w:line="400" w:lineRule="exact"/>
              <w:ind w:firstLine="420" w:firstLineChars="200"/>
              <w:textAlignment w:val="auto"/>
              <w:rPr>
                <w:rFonts w:ascii="宋体" w:hAnsi="宋体"/>
                <w:szCs w:val="21"/>
                <w:highlight w:val="none"/>
              </w:rPr>
            </w:pPr>
            <w:r>
              <w:rPr>
                <w:rFonts w:hint="eastAsia" w:ascii="宋体" w:hAnsi="宋体"/>
                <w:szCs w:val="21"/>
                <w:highlight w:val="none"/>
              </w:rPr>
              <w:t>公开比选委员会</w:t>
            </w:r>
            <w:r>
              <w:rPr>
                <w:rFonts w:ascii="宋体" w:hAnsi="宋体"/>
                <w:szCs w:val="21"/>
                <w:highlight w:val="none"/>
              </w:rPr>
              <w:t>按</w:t>
            </w:r>
            <w:r>
              <w:rPr>
                <w:rFonts w:hint="eastAsia" w:ascii="宋体" w:hAnsi="宋体"/>
                <w:szCs w:val="21"/>
                <w:highlight w:val="none"/>
              </w:rPr>
              <w:t>第</w:t>
            </w:r>
            <w:r>
              <w:rPr>
                <w:rFonts w:ascii="宋体" w:hAnsi="宋体"/>
                <w:szCs w:val="21"/>
                <w:highlight w:val="none"/>
              </w:rPr>
              <w:t>2.2.</w:t>
            </w:r>
            <w:r>
              <w:rPr>
                <w:rFonts w:hint="eastAsia" w:ascii="宋体" w:hAnsi="宋体"/>
                <w:szCs w:val="21"/>
                <w:highlight w:val="none"/>
              </w:rPr>
              <w:t>2（1）</w:t>
            </w:r>
            <w:r>
              <w:rPr>
                <w:rFonts w:ascii="宋体" w:hAnsi="宋体"/>
                <w:szCs w:val="21"/>
                <w:highlight w:val="none"/>
              </w:rPr>
              <w:t>项各评审因素设定的分值评分。</w:t>
            </w:r>
          </w:p>
          <w:p w14:paraId="22F811F2">
            <w:pPr>
              <w:keepNext w:val="0"/>
              <w:keepLines w:val="0"/>
              <w:pageBreakBefore w:val="0"/>
              <w:kinsoku/>
              <w:wordWrap/>
              <w:overflowPunct/>
              <w:topLinePunct w:val="0"/>
              <w:bidi w:val="0"/>
              <w:adjustRightInd/>
              <w:snapToGrid/>
              <w:spacing w:line="400" w:lineRule="exact"/>
              <w:ind w:firstLine="420" w:firstLineChars="200"/>
              <w:textAlignment w:val="auto"/>
              <w:rPr>
                <w:rFonts w:ascii="宋体" w:hAnsi="宋体"/>
                <w:snapToGrid w:val="0"/>
                <w:kern w:val="0"/>
                <w:szCs w:val="21"/>
                <w:highlight w:val="none"/>
              </w:rPr>
            </w:pPr>
            <w:r>
              <w:rPr>
                <w:rFonts w:hint="eastAsia" w:ascii="宋体" w:hAnsi="宋体"/>
                <w:snapToGrid w:val="0"/>
                <w:kern w:val="0"/>
                <w:szCs w:val="21"/>
                <w:highlight w:val="none"/>
              </w:rPr>
              <w:t>公开比选委员会</w:t>
            </w:r>
            <w:r>
              <w:rPr>
                <w:rFonts w:ascii="宋体" w:hAnsi="宋体"/>
                <w:snapToGrid w:val="0"/>
                <w:kern w:val="0"/>
                <w:szCs w:val="21"/>
                <w:highlight w:val="none"/>
              </w:rPr>
              <w:t>成员打分取算术平均值为该参选人技术</w:t>
            </w:r>
            <w:r>
              <w:rPr>
                <w:rFonts w:hint="eastAsia" w:ascii="宋体" w:hAnsi="宋体"/>
                <w:snapToGrid w:val="0"/>
                <w:kern w:val="0"/>
                <w:szCs w:val="21"/>
                <w:highlight w:val="none"/>
              </w:rPr>
              <w:t>部分</w:t>
            </w:r>
            <w:r>
              <w:rPr>
                <w:rFonts w:ascii="宋体" w:hAnsi="宋体"/>
                <w:snapToGrid w:val="0"/>
                <w:kern w:val="0"/>
                <w:szCs w:val="21"/>
                <w:highlight w:val="none"/>
              </w:rPr>
              <w:t>得分。</w:t>
            </w:r>
          </w:p>
          <w:p w14:paraId="38BD9B17">
            <w:pPr>
              <w:keepNext w:val="0"/>
              <w:keepLines w:val="0"/>
              <w:pageBreakBefore w:val="0"/>
              <w:kinsoku/>
              <w:wordWrap/>
              <w:overflowPunct/>
              <w:topLinePunct w:val="0"/>
              <w:bidi w:val="0"/>
              <w:adjustRightInd/>
              <w:snapToGrid/>
              <w:spacing w:line="400" w:lineRule="exact"/>
              <w:ind w:firstLine="420" w:firstLineChars="200"/>
              <w:textAlignment w:val="auto"/>
              <w:rPr>
                <w:rFonts w:ascii="宋体" w:hAnsi="宋体"/>
                <w:kern w:val="0"/>
                <w:szCs w:val="21"/>
                <w:highlight w:val="none"/>
              </w:rPr>
            </w:pPr>
            <w:r>
              <w:rPr>
                <w:rFonts w:ascii="宋体" w:hAnsi="宋体"/>
                <w:kern w:val="0"/>
                <w:szCs w:val="21"/>
                <w:highlight w:val="none"/>
              </w:rPr>
              <w:t>技术</w:t>
            </w:r>
            <w:r>
              <w:rPr>
                <w:rFonts w:hint="eastAsia" w:ascii="宋体" w:hAnsi="宋体"/>
                <w:kern w:val="0"/>
                <w:szCs w:val="21"/>
                <w:highlight w:val="none"/>
              </w:rPr>
              <w:t>部分</w:t>
            </w:r>
            <w:r>
              <w:rPr>
                <w:rFonts w:ascii="宋体" w:hAnsi="宋体"/>
                <w:kern w:val="0"/>
                <w:szCs w:val="21"/>
                <w:highlight w:val="none"/>
              </w:rPr>
              <w:t>得分的最终结果取小数点后两位，第三位四舍五入。</w:t>
            </w:r>
          </w:p>
        </w:tc>
      </w:tr>
      <w:tr w14:paraId="4B96777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307" w:hRule="atLeast"/>
          <w:jc w:val="center"/>
        </w:trPr>
        <w:tc>
          <w:tcPr>
            <w:tcW w:w="994" w:type="dxa"/>
            <w:noWrap w:val="0"/>
            <w:vAlign w:val="center"/>
          </w:tcPr>
          <w:p w14:paraId="10EF6DD1">
            <w:pPr>
              <w:keepNext w:val="0"/>
              <w:keepLines w:val="0"/>
              <w:pageBreakBefore w:val="0"/>
              <w:kinsoku/>
              <w:wordWrap/>
              <w:overflowPunct/>
              <w:topLinePunct w:val="0"/>
              <w:bidi w:val="0"/>
              <w:adjustRightInd/>
              <w:snapToGrid/>
              <w:spacing w:line="400" w:lineRule="exact"/>
              <w:jc w:val="center"/>
              <w:textAlignment w:val="auto"/>
              <w:rPr>
                <w:rFonts w:ascii="宋体" w:hAnsi="宋体"/>
                <w:highlight w:val="none"/>
              </w:rPr>
            </w:pPr>
            <w:r>
              <w:rPr>
                <w:rFonts w:hint="eastAsia" w:ascii="宋体" w:hAnsi="宋体"/>
                <w:highlight w:val="none"/>
              </w:rPr>
              <w:t>3.2.1</w:t>
            </w:r>
          </w:p>
          <w:p w14:paraId="38C70C37">
            <w:pPr>
              <w:keepNext w:val="0"/>
              <w:keepLines w:val="0"/>
              <w:pageBreakBefore w:val="0"/>
              <w:kinsoku/>
              <w:wordWrap/>
              <w:overflowPunct/>
              <w:topLinePunct w:val="0"/>
              <w:bidi w:val="0"/>
              <w:adjustRightInd/>
              <w:snapToGrid/>
              <w:spacing w:line="400" w:lineRule="exact"/>
              <w:jc w:val="center"/>
              <w:textAlignment w:val="auto"/>
              <w:rPr>
                <w:highlight w:val="none"/>
              </w:rPr>
            </w:pPr>
            <w:r>
              <w:rPr>
                <w:rFonts w:hint="eastAsia" w:ascii="宋体" w:hAnsi="宋体"/>
                <w:highlight w:val="none"/>
              </w:rPr>
              <w:t>（3）</w:t>
            </w:r>
          </w:p>
        </w:tc>
        <w:tc>
          <w:tcPr>
            <w:tcW w:w="992" w:type="dxa"/>
            <w:noWrap w:val="0"/>
            <w:vAlign w:val="center"/>
          </w:tcPr>
          <w:p w14:paraId="12A097AB">
            <w:pPr>
              <w:keepNext w:val="0"/>
              <w:keepLines w:val="0"/>
              <w:pageBreakBefore w:val="0"/>
              <w:kinsoku/>
              <w:wordWrap/>
              <w:overflowPunct/>
              <w:topLinePunct w:val="0"/>
              <w:bidi w:val="0"/>
              <w:adjustRightInd/>
              <w:snapToGrid/>
              <w:spacing w:line="400" w:lineRule="exact"/>
              <w:jc w:val="center"/>
              <w:textAlignment w:val="auto"/>
              <w:rPr>
                <w:rFonts w:ascii="宋体" w:hAnsi="宋体"/>
                <w:highlight w:val="none"/>
              </w:rPr>
            </w:pPr>
            <w:r>
              <w:rPr>
                <w:rFonts w:hint="eastAsia" w:ascii="宋体" w:hAnsi="宋体"/>
                <w:highlight w:val="none"/>
              </w:rPr>
              <w:t>参选报价得分（</w:t>
            </w:r>
            <w:r>
              <w:rPr>
                <w:rFonts w:hint="eastAsia" w:ascii="宋体" w:hAnsi="宋体"/>
                <w:highlight w:val="none"/>
                <w:lang w:val="en-US" w:eastAsia="zh-CN"/>
              </w:rPr>
              <w:t>B</w:t>
            </w:r>
            <w:r>
              <w:rPr>
                <w:rFonts w:ascii="宋体" w:hAnsi="宋体"/>
                <w:spacing w:val="-4"/>
                <w:highlight w:val="none"/>
              </w:rPr>
              <w:t>=60分</w:t>
            </w:r>
            <w:r>
              <w:rPr>
                <w:rFonts w:hint="eastAsia" w:ascii="宋体" w:hAnsi="宋体"/>
                <w:highlight w:val="none"/>
              </w:rPr>
              <w:t>）</w:t>
            </w:r>
          </w:p>
        </w:tc>
        <w:tc>
          <w:tcPr>
            <w:tcW w:w="7484" w:type="dxa"/>
            <w:gridSpan w:val="2"/>
            <w:noWrap w:val="0"/>
            <w:vAlign w:val="center"/>
          </w:tcPr>
          <w:p w14:paraId="3A42350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1、所有通过初步评审（</w:t>
            </w:r>
            <w:r>
              <w:rPr>
                <w:rFonts w:hint="eastAsia" w:ascii="宋体" w:hAnsi="宋体" w:eastAsia="宋体" w:cs="宋体"/>
                <w:color w:val="auto"/>
                <w:kern w:val="0"/>
                <w:szCs w:val="21"/>
                <w:highlight w:val="none"/>
                <w:lang w:eastAsia="zh-CN"/>
              </w:rPr>
              <w:t>资格评审、形式评审和响应性评审</w:t>
            </w:r>
            <w:r>
              <w:rPr>
                <w:rFonts w:hint="eastAsia" w:ascii="宋体" w:hAnsi="宋体"/>
                <w:szCs w:val="21"/>
                <w:highlight w:val="none"/>
                <w:lang w:val="en-US" w:eastAsia="zh-CN"/>
              </w:rPr>
              <w:t>）合格的参选人的投标报价为有效报价，有效报价中工程费报价60分。</w:t>
            </w:r>
          </w:p>
          <w:p w14:paraId="390A8DD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szCs w:val="21"/>
                <w:highlight w:val="none"/>
                <w:lang w:val="en-US" w:eastAsia="zh-CN"/>
              </w:rPr>
            </w:pPr>
            <w:r>
              <w:rPr>
                <w:rFonts w:hint="eastAsia" w:ascii="宋体" w:hAnsi="宋体"/>
                <w:szCs w:val="21"/>
                <w:highlight w:val="none"/>
                <w:lang w:val="en-US" w:eastAsia="zh-CN"/>
              </w:rPr>
              <w:t>2、安装工程费最低报价为安装工程费评标基准价，得满分60分，其他安装工程费投标报价与评标基准价相比，每增加1%扣0.5分，扣完为止。</w:t>
            </w:r>
          </w:p>
          <w:p w14:paraId="48B1C07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kern w:val="0"/>
                <w:szCs w:val="21"/>
                <w:highlight w:val="none"/>
                <w:lang w:eastAsia="zh-CN"/>
              </w:rPr>
            </w:pPr>
            <w:r>
              <w:rPr>
                <w:rFonts w:hint="eastAsia" w:ascii="Calibri" w:hAnsi="Calibri" w:eastAsia="宋体" w:cs="Calibri"/>
                <w:color w:val="auto"/>
                <w:kern w:val="0"/>
                <w:szCs w:val="21"/>
                <w:highlight w:val="none"/>
                <w:lang w:val="en-US" w:eastAsia="zh-CN"/>
              </w:rPr>
              <w:t>例如：</w:t>
            </w:r>
            <w:r>
              <w:rPr>
                <w:rFonts w:hint="eastAsia" w:ascii="宋体" w:hAnsi="宋体" w:eastAsia="宋体" w:cs="宋体"/>
                <w:color w:val="auto"/>
                <w:kern w:val="0"/>
                <w:szCs w:val="21"/>
                <w:highlight w:val="none"/>
                <w:lang w:eastAsia="zh-CN"/>
              </w:rPr>
              <w:t>A</w:t>
            </w:r>
            <w:r>
              <w:rPr>
                <w:rFonts w:hint="eastAsia" w:ascii="宋体" w:hAnsi="宋体" w:cs="宋体"/>
                <w:color w:val="auto"/>
                <w:kern w:val="0"/>
                <w:szCs w:val="21"/>
                <w:highlight w:val="none"/>
                <w:lang w:eastAsia="zh-CN"/>
              </w:rPr>
              <w:t>参选人</w:t>
            </w:r>
            <w:r>
              <w:rPr>
                <w:rFonts w:hint="eastAsia" w:ascii="宋体" w:hAnsi="宋体" w:eastAsia="宋体" w:cs="宋体"/>
                <w:color w:val="auto"/>
                <w:kern w:val="0"/>
                <w:szCs w:val="21"/>
                <w:highlight w:val="none"/>
                <w:lang w:eastAsia="zh-CN"/>
              </w:rPr>
              <w:t>的</w:t>
            </w:r>
            <w:r>
              <w:rPr>
                <w:rFonts w:hint="eastAsia" w:ascii="宋体" w:hAnsi="宋体"/>
                <w:szCs w:val="21"/>
                <w:highlight w:val="none"/>
                <w:lang w:val="en-US" w:eastAsia="zh-CN"/>
              </w:rPr>
              <w:t>安装工程</w:t>
            </w:r>
            <w:r>
              <w:rPr>
                <w:rFonts w:hint="eastAsia" w:ascii="宋体" w:hAnsi="宋体" w:eastAsia="宋体" w:cs="宋体"/>
                <w:color w:val="auto"/>
                <w:kern w:val="0"/>
                <w:szCs w:val="21"/>
                <w:highlight w:val="none"/>
                <w:lang w:val="en-US" w:eastAsia="zh-CN"/>
              </w:rPr>
              <w:t>费</w:t>
            </w:r>
            <w:r>
              <w:rPr>
                <w:rFonts w:hint="eastAsia" w:ascii="宋体" w:hAnsi="宋体" w:eastAsia="宋体" w:cs="宋体"/>
                <w:color w:val="auto"/>
                <w:kern w:val="0"/>
                <w:szCs w:val="21"/>
                <w:highlight w:val="none"/>
                <w:lang w:eastAsia="zh-CN"/>
              </w:rPr>
              <w:t>报价为</w:t>
            </w:r>
            <w:r>
              <w:rPr>
                <w:rFonts w:hint="eastAsia" w:ascii="宋体" w:hAnsi="宋体" w:cs="宋体"/>
                <w:color w:val="auto"/>
                <w:kern w:val="0"/>
                <w:szCs w:val="21"/>
                <w:highlight w:val="none"/>
                <w:lang w:val="en-US" w:eastAsia="zh-CN"/>
              </w:rPr>
              <w:t>13000</w:t>
            </w:r>
            <w:r>
              <w:rPr>
                <w:rFonts w:hint="eastAsia" w:ascii="宋体" w:hAnsi="宋体" w:eastAsia="宋体" w:cs="宋体"/>
                <w:color w:val="auto"/>
                <w:kern w:val="0"/>
                <w:szCs w:val="21"/>
                <w:highlight w:val="none"/>
                <w:lang w:val="en-US" w:eastAsia="zh-CN"/>
              </w:rPr>
              <w:t>元</w:t>
            </w:r>
            <w:r>
              <w:rPr>
                <w:rFonts w:hint="eastAsia" w:ascii="宋体" w:hAnsi="宋体" w:eastAsia="宋体" w:cs="宋体"/>
                <w:color w:val="auto"/>
                <w:kern w:val="0"/>
                <w:szCs w:val="21"/>
                <w:highlight w:val="none"/>
                <w:lang w:eastAsia="zh-CN"/>
              </w:rPr>
              <w:t>，</w:t>
            </w:r>
            <w:r>
              <w:rPr>
                <w:rFonts w:hint="eastAsia" w:ascii="宋体" w:hAnsi="宋体"/>
                <w:szCs w:val="21"/>
                <w:highlight w:val="none"/>
                <w:lang w:val="en-US" w:eastAsia="zh-CN"/>
              </w:rPr>
              <w:t>安装工程</w:t>
            </w:r>
            <w:r>
              <w:rPr>
                <w:rFonts w:hint="eastAsia" w:ascii="宋体" w:hAnsi="宋体" w:cs="宋体"/>
                <w:color w:val="auto"/>
                <w:kern w:val="0"/>
                <w:szCs w:val="21"/>
                <w:highlight w:val="none"/>
                <w:lang w:val="en-US" w:eastAsia="zh-CN"/>
              </w:rPr>
              <w:t>费最低</w:t>
            </w:r>
            <w:r>
              <w:rPr>
                <w:rFonts w:hint="eastAsia" w:ascii="宋体" w:hAnsi="宋体" w:eastAsia="宋体" w:cs="宋体"/>
                <w:color w:val="auto"/>
                <w:kern w:val="0"/>
                <w:szCs w:val="21"/>
                <w:highlight w:val="none"/>
                <w:lang w:eastAsia="zh-CN"/>
              </w:rPr>
              <w:t>投标报价为</w:t>
            </w:r>
            <w:r>
              <w:rPr>
                <w:rFonts w:hint="eastAsia" w:ascii="宋体" w:hAnsi="宋体" w:cs="宋体"/>
                <w:color w:val="auto"/>
                <w:kern w:val="0"/>
                <w:szCs w:val="21"/>
                <w:highlight w:val="none"/>
                <w:lang w:val="en-US" w:eastAsia="zh-CN"/>
              </w:rPr>
              <w:t>120</w:t>
            </w:r>
            <w:r>
              <w:rPr>
                <w:rFonts w:hint="eastAsia" w:ascii="宋体" w:hAnsi="宋体" w:eastAsia="宋体" w:cs="宋体"/>
                <w:color w:val="auto"/>
                <w:kern w:val="0"/>
                <w:szCs w:val="21"/>
                <w:highlight w:val="none"/>
                <w:lang w:val="en-US" w:eastAsia="zh-CN"/>
              </w:rPr>
              <w:t>00</w:t>
            </w:r>
            <w:r>
              <w:rPr>
                <w:rFonts w:hint="eastAsia" w:ascii="宋体" w:hAnsi="宋体" w:cs="宋体"/>
                <w:color w:val="auto"/>
                <w:kern w:val="0"/>
                <w:szCs w:val="21"/>
                <w:highlight w:val="none"/>
                <w:lang w:val="en-US" w:eastAsia="zh-CN"/>
              </w:rPr>
              <w:t>元</w:t>
            </w:r>
            <w:r>
              <w:rPr>
                <w:rFonts w:hint="eastAsia" w:ascii="宋体" w:hAnsi="宋体" w:eastAsia="宋体" w:cs="宋体"/>
                <w:color w:val="auto"/>
                <w:kern w:val="0"/>
                <w:szCs w:val="21"/>
                <w:highlight w:val="none"/>
                <w:lang w:eastAsia="zh-CN"/>
              </w:rPr>
              <w:t>，则A</w:t>
            </w:r>
            <w:r>
              <w:rPr>
                <w:rFonts w:hint="eastAsia" w:ascii="宋体" w:hAnsi="宋体" w:cs="宋体"/>
                <w:color w:val="auto"/>
                <w:kern w:val="0"/>
                <w:szCs w:val="21"/>
                <w:highlight w:val="none"/>
                <w:lang w:eastAsia="zh-CN"/>
              </w:rPr>
              <w:t>参选人</w:t>
            </w:r>
            <w:r>
              <w:rPr>
                <w:rFonts w:hint="eastAsia" w:ascii="宋体" w:hAnsi="宋体" w:eastAsia="宋体" w:cs="宋体"/>
                <w:color w:val="auto"/>
                <w:kern w:val="0"/>
                <w:szCs w:val="21"/>
                <w:highlight w:val="none"/>
                <w:lang w:eastAsia="zh-CN"/>
              </w:rPr>
              <w:t>的</w:t>
            </w:r>
            <w:r>
              <w:rPr>
                <w:rFonts w:hint="eastAsia" w:ascii="宋体" w:hAnsi="宋体"/>
                <w:szCs w:val="21"/>
                <w:highlight w:val="none"/>
                <w:lang w:val="en-US" w:eastAsia="zh-CN"/>
              </w:rPr>
              <w:t>安装工程设计费</w:t>
            </w:r>
            <w:r>
              <w:rPr>
                <w:rFonts w:hint="eastAsia" w:ascii="宋体" w:hAnsi="宋体" w:eastAsia="宋体" w:cs="宋体"/>
                <w:color w:val="auto"/>
                <w:kern w:val="0"/>
                <w:szCs w:val="21"/>
                <w:highlight w:val="none"/>
                <w:lang w:eastAsia="zh-CN"/>
              </w:rPr>
              <w:t>投标报价的得分为：</w:t>
            </w:r>
            <w:r>
              <w:rPr>
                <w:rFonts w:hint="eastAsia" w:ascii="宋体" w:hAnsi="宋体" w:cs="宋体"/>
                <w:color w:val="auto"/>
                <w:kern w:val="0"/>
                <w:szCs w:val="21"/>
                <w:highlight w:val="none"/>
                <w:lang w:val="en-US" w:eastAsia="zh-CN"/>
              </w:rPr>
              <w:t>60</w:t>
            </w:r>
            <w:r>
              <w:rPr>
                <w:rFonts w:hint="eastAsia" w:ascii="宋体" w:hAnsi="宋体" w:eastAsia="宋体" w:cs="宋体"/>
                <w:color w:val="auto"/>
                <w:kern w:val="0"/>
                <w:szCs w:val="21"/>
                <w:highlight w:val="none"/>
                <w:lang w:eastAsia="zh-CN"/>
              </w:rPr>
              <w:t>-（</w:t>
            </w:r>
            <w:r>
              <w:rPr>
                <w:rFonts w:hint="eastAsia" w:ascii="宋体" w:hAnsi="宋体" w:cs="宋体"/>
                <w:color w:val="auto"/>
                <w:kern w:val="0"/>
                <w:szCs w:val="21"/>
                <w:highlight w:val="none"/>
                <w:lang w:val="en-US" w:eastAsia="zh-CN"/>
              </w:rPr>
              <w:t>13000</w:t>
            </w:r>
            <w:r>
              <w:rPr>
                <w:rFonts w:hint="eastAsia" w:ascii="宋体" w:hAnsi="宋体" w:eastAsia="宋体" w:cs="宋体"/>
                <w:color w:val="auto"/>
                <w:kern w:val="0"/>
                <w:szCs w:val="21"/>
                <w:highlight w:val="none"/>
                <w:lang w:eastAsia="zh-CN"/>
              </w:rPr>
              <w:t>-</w:t>
            </w:r>
            <w:r>
              <w:rPr>
                <w:rFonts w:hint="eastAsia" w:ascii="宋体" w:hAnsi="宋体" w:cs="宋体"/>
                <w:color w:val="auto"/>
                <w:kern w:val="0"/>
                <w:szCs w:val="21"/>
                <w:highlight w:val="none"/>
                <w:lang w:val="en-US" w:eastAsia="zh-CN"/>
              </w:rPr>
              <w:t>12000</w:t>
            </w:r>
            <w:r>
              <w:rPr>
                <w:rFonts w:hint="eastAsia" w:ascii="宋体" w:hAnsi="宋体" w:eastAsia="宋体" w:cs="宋体"/>
                <w:color w:val="auto"/>
                <w:kern w:val="0"/>
                <w:szCs w:val="21"/>
                <w:highlight w:val="none"/>
                <w:lang w:eastAsia="zh-CN"/>
              </w:rPr>
              <w:t>）/</w:t>
            </w:r>
            <w:r>
              <w:rPr>
                <w:rFonts w:hint="eastAsia" w:ascii="宋体" w:hAnsi="宋体" w:cs="宋体"/>
                <w:color w:val="auto"/>
                <w:kern w:val="0"/>
                <w:szCs w:val="21"/>
                <w:highlight w:val="none"/>
                <w:lang w:val="en-US" w:eastAsia="zh-CN"/>
              </w:rPr>
              <w:t>12</w:t>
            </w:r>
            <w:r>
              <w:rPr>
                <w:rFonts w:hint="eastAsia" w:ascii="宋体" w:hAnsi="宋体" w:eastAsia="宋体" w:cs="宋体"/>
                <w:color w:val="auto"/>
                <w:kern w:val="0"/>
                <w:szCs w:val="21"/>
                <w:highlight w:val="none"/>
                <w:lang w:val="en-US" w:eastAsia="zh-CN"/>
              </w:rPr>
              <w:t>000*100*0.5</w:t>
            </w:r>
            <w:r>
              <w:rPr>
                <w:rFonts w:hint="eastAsia" w:ascii="宋体" w:hAnsi="宋体" w:eastAsia="宋体" w:cs="宋体"/>
                <w:color w:val="auto"/>
                <w:kern w:val="0"/>
                <w:szCs w:val="21"/>
                <w:highlight w:val="none"/>
                <w:lang w:eastAsia="zh-CN"/>
              </w:rPr>
              <w:t>=</w:t>
            </w:r>
            <w:r>
              <w:rPr>
                <w:rFonts w:hint="eastAsia" w:ascii="宋体" w:hAnsi="宋体" w:cs="宋体"/>
                <w:color w:val="auto"/>
                <w:kern w:val="0"/>
                <w:szCs w:val="21"/>
                <w:highlight w:val="none"/>
                <w:lang w:val="en-US" w:eastAsia="zh-CN"/>
              </w:rPr>
              <w:t>55.83</w:t>
            </w:r>
            <w:r>
              <w:rPr>
                <w:rFonts w:hint="eastAsia" w:ascii="宋体" w:hAnsi="宋体" w:eastAsia="宋体" w:cs="宋体"/>
                <w:color w:val="auto"/>
                <w:kern w:val="0"/>
                <w:szCs w:val="21"/>
                <w:highlight w:val="none"/>
                <w:lang w:eastAsia="zh-CN"/>
              </w:rPr>
              <w:t>分</w:t>
            </w:r>
          </w:p>
          <w:p w14:paraId="13682AE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3、</w:t>
            </w:r>
            <w:r>
              <w:rPr>
                <w:rFonts w:hint="eastAsia" w:ascii="宋体" w:hAnsi="宋体" w:eastAsia="宋体" w:cs="宋体"/>
                <w:color w:val="auto"/>
                <w:kern w:val="0"/>
                <w:szCs w:val="21"/>
                <w:highlight w:val="none"/>
                <w:lang w:eastAsia="zh-CN"/>
              </w:rPr>
              <w:t>投标报价评分</w:t>
            </w:r>
            <w:r>
              <w:rPr>
                <w:rFonts w:hint="eastAsia" w:ascii="宋体" w:hAnsi="宋体" w:eastAsia="宋体" w:cs="宋体"/>
                <w:color w:val="auto"/>
                <w:kern w:val="0"/>
                <w:szCs w:val="21"/>
                <w:highlight w:val="none"/>
                <w:lang w:val="en-US" w:eastAsia="zh-CN"/>
              </w:rPr>
              <w:t>=</w:t>
            </w:r>
            <w:r>
              <w:rPr>
                <w:rFonts w:hint="eastAsia" w:ascii="宋体" w:hAnsi="宋体" w:cs="宋体"/>
                <w:color w:val="auto"/>
                <w:kern w:val="0"/>
                <w:szCs w:val="21"/>
                <w:highlight w:val="none"/>
                <w:lang w:val="en-US" w:eastAsia="zh-CN"/>
              </w:rPr>
              <w:t>安装</w:t>
            </w:r>
            <w:r>
              <w:rPr>
                <w:rFonts w:hint="eastAsia" w:ascii="宋体" w:hAnsi="宋体" w:eastAsia="宋体" w:cs="宋体"/>
                <w:color w:val="auto"/>
                <w:kern w:val="0"/>
                <w:szCs w:val="21"/>
                <w:highlight w:val="none"/>
                <w:lang w:val="en-US" w:eastAsia="zh-CN"/>
              </w:rPr>
              <w:t>工程费报价得分。</w:t>
            </w:r>
          </w:p>
          <w:p w14:paraId="624B7BB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szCs w:val="21"/>
                <w:highlight w:val="none"/>
              </w:rPr>
            </w:pPr>
            <w:r>
              <w:rPr>
                <w:rFonts w:hint="eastAsia" w:ascii="宋体" w:hAnsi="宋体" w:eastAsia="宋体" w:cs="宋体"/>
                <w:color w:val="auto"/>
                <w:kern w:val="0"/>
                <w:szCs w:val="21"/>
                <w:highlight w:val="none"/>
                <w:lang w:eastAsia="zh-CN"/>
              </w:rPr>
              <w:t>结果取小数点后两位，</w:t>
            </w:r>
            <w:r>
              <w:rPr>
                <w:rFonts w:hint="eastAsia" w:ascii="宋体" w:hAnsi="宋体" w:cs="宋体"/>
                <w:color w:val="auto"/>
                <w:kern w:val="0"/>
                <w:szCs w:val="21"/>
                <w:highlight w:val="none"/>
                <w:lang w:val="en-US" w:eastAsia="zh-CN"/>
              </w:rPr>
              <w:t>根据</w:t>
            </w:r>
            <w:r>
              <w:rPr>
                <w:rFonts w:hint="eastAsia" w:ascii="宋体" w:hAnsi="宋体" w:eastAsia="宋体" w:cs="宋体"/>
                <w:color w:val="auto"/>
                <w:kern w:val="0"/>
                <w:szCs w:val="21"/>
                <w:highlight w:val="none"/>
                <w:lang w:eastAsia="zh-CN"/>
              </w:rPr>
              <w:t>第三位四舍五入。</w:t>
            </w:r>
          </w:p>
        </w:tc>
      </w:tr>
      <w:tr w14:paraId="78D26045">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986" w:type="dxa"/>
            <w:gridSpan w:val="2"/>
            <w:noWrap w:val="0"/>
            <w:vAlign w:val="center"/>
          </w:tcPr>
          <w:p w14:paraId="7590588B">
            <w:pPr>
              <w:keepNext w:val="0"/>
              <w:keepLines w:val="0"/>
              <w:pageBreakBefore w:val="0"/>
              <w:kinsoku/>
              <w:wordWrap/>
              <w:overflowPunct/>
              <w:topLinePunct w:val="0"/>
              <w:bidi w:val="0"/>
              <w:adjustRightInd/>
              <w:snapToGrid/>
              <w:spacing w:line="400" w:lineRule="exact"/>
              <w:ind w:firstLine="18" w:firstLineChars="9"/>
              <w:jc w:val="center"/>
              <w:textAlignment w:val="auto"/>
              <w:rPr>
                <w:rFonts w:ascii="宋体" w:hAnsi="宋体"/>
                <w:szCs w:val="21"/>
                <w:highlight w:val="none"/>
              </w:rPr>
            </w:pPr>
            <w:r>
              <w:rPr>
                <w:rFonts w:ascii="宋体" w:hAnsi="宋体"/>
                <w:szCs w:val="21"/>
                <w:highlight w:val="none"/>
              </w:rPr>
              <w:t>3.2.3</w:t>
            </w:r>
          </w:p>
        </w:tc>
        <w:tc>
          <w:tcPr>
            <w:tcW w:w="1690" w:type="dxa"/>
            <w:noWrap w:val="0"/>
            <w:vAlign w:val="center"/>
          </w:tcPr>
          <w:p w14:paraId="294EFA58">
            <w:pPr>
              <w:keepNext w:val="0"/>
              <w:keepLines w:val="0"/>
              <w:pageBreakBefore w:val="0"/>
              <w:kinsoku/>
              <w:wordWrap/>
              <w:overflowPunct/>
              <w:topLinePunct w:val="0"/>
              <w:bidi w:val="0"/>
              <w:adjustRightInd/>
              <w:snapToGrid/>
              <w:spacing w:line="400" w:lineRule="exact"/>
              <w:ind w:firstLine="18" w:firstLineChars="9"/>
              <w:jc w:val="center"/>
              <w:textAlignment w:val="auto"/>
              <w:rPr>
                <w:rFonts w:ascii="宋体" w:hAnsi="宋体"/>
                <w:szCs w:val="21"/>
                <w:highlight w:val="none"/>
              </w:rPr>
            </w:pPr>
            <w:r>
              <w:rPr>
                <w:rFonts w:ascii="宋体" w:hAnsi="宋体"/>
                <w:szCs w:val="21"/>
                <w:highlight w:val="none"/>
              </w:rPr>
              <w:t>参选人</w:t>
            </w:r>
            <w:r>
              <w:rPr>
                <w:rFonts w:hint="eastAsia" w:ascii="宋体" w:hAnsi="宋体"/>
                <w:szCs w:val="21"/>
                <w:highlight w:val="none"/>
              </w:rPr>
              <w:t>总</w:t>
            </w:r>
            <w:r>
              <w:rPr>
                <w:rFonts w:ascii="宋体" w:hAnsi="宋体"/>
                <w:szCs w:val="21"/>
                <w:highlight w:val="none"/>
              </w:rPr>
              <w:t>得分</w:t>
            </w:r>
          </w:p>
        </w:tc>
        <w:tc>
          <w:tcPr>
            <w:tcW w:w="5794" w:type="dxa"/>
            <w:noWrap w:val="0"/>
            <w:vAlign w:val="center"/>
          </w:tcPr>
          <w:p w14:paraId="204DC25A">
            <w:pPr>
              <w:keepNext w:val="0"/>
              <w:keepLines w:val="0"/>
              <w:pageBreakBefore w:val="0"/>
              <w:kinsoku/>
              <w:wordWrap/>
              <w:overflowPunct/>
              <w:topLinePunct w:val="0"/>
              <w:bidi w:val="0"/>
              <w:adjustRightInd/>
              <w:snapToGrid/>
              <w:spacing w:line="400" w:lineRule="exact"/>
              <w:jc w:val="center"/>
              <w:textAlignment w:val="auto"/>
              <w:rPr>
                <w:rFonts w:ascii="宋体" w:hAnsi="宋体"/>
                <w:szCs w:val="21"/>
                <w:highlight w:val="none"/>
                <w:u w:val="single"/>
              </w:rPr>
            </w:pPr>
            <w:r>
              <w:rPr>
                <w:rFonts w:ascii="宋体" w:hAnsi="宋体"/>
                <w:szCs w:val="21"/>
                <w:highlight w:val="none"/>
                <w:u w:val="single"/>
              </w:rPr>
              <w:t>参选人</w:t>
            </w:r>
            <w:r>
              <w:rPr>
                <w:rFonts w:hint="eastAsia" w:ascii="宋体" w:hAnsi="宋体"/>
                <w:szCs w:val="21"/>
                <w:highlight w:val="none"/>
                <w:u w:val="single"/>
              </w:rPr>
              <w:t>总</w:t>
            </w:r>
            <w:r>
              <w:rPr>
                <w:rFonts w:ascii="宋体" w:hAnsi="宋体"/>
                <w:szCs w:val="21"/>
                <w:highlight w:val="none"/>
                <w:u w:val="single"/>
              </w:rPr>
              <w:t>得分=A+B</w:t>
            </w:r>
          </w:p>
        </w:tc>
      </w:tr>
      <w:tr w14:paraId="31ADD0A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3676" w:type="dxa"/>
            <w:gridSpan w:val="3"/>
            <w:noWrap w:val="0"/>
            <w:vAlign w:val="center"/>
          </w:tcPr>
          <w:p w14:paraId="3D10BDA2">
            <w:pPr>
              <w:keepNext w:val="0"/>
              <w:keepLines w:val="0"/>
              <w:pageBreakBefore w:val="0"/>
              <w:kinsoku/>
              <w:wordWrap/>
              <w:overflowPunct/>
              <w:topLinePunct w:val="0"/>
              <w:bidi w:val="0"/>
              <w:adjustRightInd/>
              <w:snapToGrid/>
              <w:spacing w:line="400" w:lineRule="exact"/>
              <w:ind w:firstLine="18" w:firstLineChars="9"/>
              <w:jc w:val="center"/>
              <w:textAlignment w:val="auto"/>
              <w:rPr>
                <w:rFonts w:ascii="宋体" w:hAnsi="宋体"/>
                <w:szCs w:val="21"/>
                <w:highlight w:val="none"/>
              </w:rPr>
            </w:pPr>
            <w:r>
              <w:rPr>
                <w:rFonts w:hint="eastAsia" w:ascii="宋体" w:hAnsi="宋体"/>
                <w:szCs w:val="21"/>
                <w:highlight w:val="none"/>
              </w:rPr>
              <w:t>定标原则</w:t>
            </w:r>
          </w:p>
        </w:tc>
        <w:tc>
          <w:tcPr>
            <w:tcW w:w="5794" w:type="dxa"/>
            <w:noWrap w:val="0"/>
            <w:vAlign w:val="center"/>
          </w:tcPr>
          <w:p w14:paraId="4044E00B">
            <w:pPr>
              <w:keepNext w:val="0"/>
              <w:keepLines w:val="0"/>
              <w:pageBreakBefore w:val="0"/>
              <w:kinsoku/>
              <w:wordWrap/>
              <w:overflowPunct/>
              <w:topLinePunct w:val="0"/>
              <w:bidi w:val="0"/>
              <w:adjustRightInd/>
              <w:snapToGrid/>
              <w:spacing w:line="400" w:lineRule="exact"/>
              <w:ind w:firstLine="420" w:firstLineChars="200"/>
              <w:jc w:val="left"/>
              <w:textAlignment w:val="auto"/>
              <w:rPr>
                <w:highlight w:val="none"/>
              </w:rPr>
            </w:pPr>
            <w:r>
              <w:rPr>
                <w:rFonts w:hint="eastAsia"/>
                <w:highlight w:val="none"/>
              </w:rPr>
              <w:t>1、公开比选委员会根据各参选人的综合得分从高到低依次排定比选名次。</w:t>
            </w:r>
            <w:r>
              <w:rPr>
                <w:highlight w:val="none"/>
              </w:rPr>
              <w:t>综合评分相等时，以</w:t>
            </w:r>
            <w:r>
              <w:rPr>
                <w:rFonts w:hint="eastAsia"/>
                <w:highlight w:val="none"/>
              </w:rPr>
              <w:t>技术方案得分高</w:t>
            </w:r>
            <w:r>
              <w:rPr>
                <w:highlight w:val="none"/>
              </w:rPr>
              <w:t>的优先；</w:t>
            </w:r>
            <w:r>
              <w:rPr>
                <w:rFonts w:hint="eastAsia"/>
                <w:highlight w:val="none"/>
              </w:rPr>
              <w:t>技术方案得分相等的，以</w:t>
            </w:r>
            <w:r>
              <w:rPr>
                <w:highlight w:val="none"/>
              </w:rPr>
              <w:t>参选报价</w:t>
            </w:r>
            <w:r>
              <w:rPr>
                <w:rFonts w:hint="eastAsia"/>
                <w:highlight w:val="none"/>
              </w:rPr>
              <w:t>得分高的优先；技术方案和报价均相等的，由公开比选委员会抽签确定。</w:t>
            </w:r>
          </w:p>
          <w:p w14:paraId="5A436940">
            <w:pPr>
              <w:keepNext w:val="0"/>
              <w:keepLines w:val="0"/>
              <w:pageBreakBefore w:val="0"/>
              <w:kinsoku/>
              <w:wordWrap/>
              <w:overflowPunct/>
              <w:topLinePunct w:val="0"/>
              <w:bidi w:val="0"/>
              <w:adjustRightInd/>
              <w:snapToGrid/>
              <w:spacing w:line="400" w:lineRule="exact"/>
              <w:ind w:firstLine="420" w:firstLineChars="200"/>
              <w:jc w:val="left"/>
              <w:textAlignment w:val="auto"/>
              <w:rPr>
                <w:rFonts w:hint="eastAsia" w:eastAsiaTheme="minorEastAsia"/>
                <w:lang w:val="en-US" w:eastAsia="zh-CN"/>
              </w:rPr>
            </w:pPr>
            <w:r>
              <w:rPr>
                <w:rFonts w:hint="eastAsia"/>
                <w:highlight w:val="none"/>
              </w:rPr>
              <w:t>2、对本次比选排名进行公示，在经公示无异议、投诉，且无违反比选文件规定的前提下，比选人应当确定排名第一的参选人为中选候选人。中选候选人放弃中选、因不可抗力不能履行合同、或者被查实存在影响中选结果的违法行为，或者不接受比选人在合同谈判时提出的商务条件等情形，不符合中选条件的，比选人可以按照公开比选委员会排定的比选名次依次确定其他参选人为中选候选人，最终确定中选人。</w:t>
            </w:r>
          </w:p>
        </w:tc>
      </w:tr>
    </w:tbl>
    <w:p w14:paraId="1FFA20F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zh-CN" w:eastAsia="zh-CN"/>
        </w:rPr>
      </w:pPr>
      <w:r>
        <w:rPr>
          <w:rFonts w:hint="default" w:ascii="Times New Roman" w:hAnsi="Times New Roman" w:eastAsia="方正仿宋_GBK" w:cs="Times New Roman"/>
          <w:color w:val="auto"/>
          <w:sz w:val="28"/>
          <w:szCs w:val="28"/>
          <w:highlight w:val="none"/>
          <w:lang w:eastAsia="zh-CN"/>
        </w:rPr>
        <w:t>有效报价：资格审查合格</w:t>
      </w:r>
      <w:r>
        <w:rPr>
          <w:rFonts w:hint="eastAsia" w:ascii="Times New Roman" w:hAnsi="Times New Roman" w:eastAsia="方正仿宋_GBK" w:cs="Times New Roman"/>
          <w:color w:val="auto"/>
          <w:sz w:val="28"/>
          <w:szCs w:val="28"/>
          <w:highlight w:val="none"/>
          <w:lang w:eastAsia="zh-CN"/>
        </w:rPr>
        <w:t>、</w:t>
      </w:r>
      <w:r>
        <w:rPr>
          <w:rFonts w:hint="default" w:ascii="Times New Roman" w:hAnsi="Times New Roman" w:eastAsia="方正仿宋_GBK" w:cs="Times New Roman"/>
          <w:color w:val="auto"/>
          <w:sz w:val="28"/>
          <w:szCs w:val="28"/>
          <w:highlight w:val="none"/>
          <w:lang w:eastAsia="zh-CN"/>
        </w:rPr>
        <w:t>及总价限价范围内。</w:t>
      </w:r>
    </w:p>
    <w:p w14:paraId="540F09A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zh-CN" w:eastAsia="zh-CN"/>
        </w:rPr>
        <w:t>所有参选人须通过初步评审方可进入</w:t>
      </w:r>
      <w:r>
        <w:rPr>
          <w:rFonts w:hint="default" w:ascii="Times New Roman" w:hAnsi="Times New Roman" w:eastAsia="方正仿宋_GBK" w:cs="Times New Roman"/>
          <w:color w:val="auto"/>
          <w:sz w:val="28"/>
          <w:szCs w:val="28"/>
          <w:highlight w:val="none"/>
          <w:lang w:val="en-US" w:eastAsia="zh-CN"/>
        </w:rPr>
        <w:t>后续排名</w:t>
      </w:r>
      <w:r>
        <w:rPr>
          <w:rFonts w:hint="default" w:ascii="Times New Roman" w:hAnsi="Times New Roman" w:eastAsia="方正仿宋_GBK" w:cs="Times New Roman"/>
          <w:color w:val="auto"/>
          <w:sz w:val="28"/>
          <w:szCs w:val="28"/>
          <w:highlight w:val="none"/>
          <w:lang w:val="zh-CN" w:eastAsia="zh-CN"/>
        </w:rPr>
        <w:t>，未通过初步评审的参选人不得参与后续</w:t>
      </w:r>
      <w:r>
        <w:rPr>
          <w:rFonts w:hint="default" w:ascii="Times New Roman" w:hAnsi="Times New Roman" w:eastAsia="方正仿宋_GBK" w:cs="Times New Roman"/>
          <w:color w:val="auto"/>
          <w:sz w:val="28"/>
          <w:szCs w:val="28"/>
          <w:highlight w:val="none"/>
          <w:lang w:val="en-US" w:eastAsia="zh-CN"/>
        </w:rPr>
        <w:t>排名</w:t>
      </w:r>
      <w:r>
        <w:rPr>
          <w:rFonts w:hint="default" w:ascii="Times New Roman" w:hAnsi="Times New Roman" w:eastAsia="方正仿宋_GBK" w:cs="Times New Roman"/>
          <w:color w:val="auto"/>
          <w:sz w:val="28"/>
          <w:szCs w:val="28"/>
          <w:highlight w:val="none"/>
          <w:lang w:val="zh-CN" w:eastAsia="zh-CN"/>
        </w:rPr>
        <w:t>（退选）</w:t>
      </w:r>
      <w:r>
        <w:rPr>
          <w:rFonts w:hint="eastAsia" w:ascii="Times New Roman" w:hAnsi="Times New Roman" w:eastAsia="方正仿宋_GBK" w:cs="Times New Roman"/>
          <w:color w:val="auto"/>
          <w:sz w:val="28"/>
          <w:szCs w:val="28"/>
          <w:highlight w:val="none"/>
          <w:lang w:val="zh-CN" w:eastAsia="zh-CN"/>
        </w:rPr>
        <w:t>，</w:t>
      </w:r>
      <w:r>
        <w:rPr>
          <w:rFonts w:hint="eastAsia" w:ascii="Times New Roman" w:hAnsi="Times New Roman" w:eastAsia="方正仿宋_GBK" w:cs="Times New Roman"/>
          <w:color w:val="auto"/>
          <w:sz w:val="28"/>
          <w:szCs w:val="28"/>
          <w:highlight w:val="none"/>
          <w:lang w:val="en-US" w:eastAsia="zh-CN"/>
        </w:rPr>
        <w:t>若</w:t>
      </w:r>
      <w:r>
        <w:rPr>
          <w:rFonts w:hint="default" w:ascii="Times New Roman" w:hAnsi="Times New Roman" w:eastAsia="方正仿宋_GBK" w:cs="Times New Roman"/>
          <w:color w:val="auto"/>
          <w:sz w:val="28"/>
          <w:szCs w:val="28"/>
          <w:highlight w:val="none"/>
          <w:lang w:val="zh-CN" w:eastAsia="zh-CN"/>
        </w:rPr>
        <w:t>通过初步评审</w:t>
      </w:r>
      <w:r>
        <w:rPr>
          <w:rFonts w:hint="eastAsia" w:ascii="Times New Roman" w:hAnsi="Times New Roman" w:eastAsia="方正仿宋_GBK" w:cs="Times New Roman"/>
          <w:color w:val="auto"/>
          <w:sz w:val="28"/>
          <w:szCs w:val="28"/>
          <w:highlight w:val="none"/>
          <w:lang w:val="en-US" w:eastAsia="zh-CN"/>
        </w:rPr>
        <w:t>的投标单位不足三家，不再进行评标，本项目作流标处理。</w:t>
      </w:r>
    </w:p>
    <w:p w14:paraId="01D2B170">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eastAsia="zh-CN"/>
        </w:rPr>
      </w:pPr>
      <w:r>
        <w:rPr>
          <w:rFonts w:hint="eastAsia" w:ascii="Times New Roman" w:hAnsi="Times New Roman" w:eastAsia="方正仿宋_GBK" w:cs="Times New Roman"/>
          <w:color w:val="auto"/>
          <w:sz w:val="28"/>
          <w:szCs w:val="28"/>
          <w:highlight w:val="none"/>
          <w:lang w:val="en-US" w:eastAsia="zh-CN"/>
        </w:rPr>
        <w:t>2</w:t>
      </w:r>
      <w:r>
        <w:rPr>
          <w:rFonts w:hint="default" w:ascii="Times New Roman" w:hAnsi="Times New Roman" w:eastAsia="方正仿宋_GBK" w:cs="Times New Roman"/>
          <w:color w:val="auto"/>
          <w:sz w:val="28"/>
          <w:szCs w:val="28"/>
          <w:highlight w:val="none"/>
          <w:lang w:val="en-US" w:eastAsia="zh-CN"/>
        </w:rPr>
        <w:t>、</w:t>
      </w:r>
      <w:r>
        <w:rPr>
          <w:rFonts w:hint="default" w:ascii="Times New Roman" w:hAnsi="Times New Roman" w:eastAsia="方正仿宋_GBK" w:cs="Times New Roman"/>
          <w:color w:val="auto"/>
          <w:sz w:val="28"/>
          <w:szCs w:val="28"/>
          <w:highlight w:val="none"/>
          <w:lang w:eastAsia="zh-CN"/>
        </w:rPr>
        <w:t>无效比选</w:t>
      </w:r>
    </w:p>
    <w:p w14:paraId="13C26F5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eastAsia="zh-CN"/>
        </w:rPr>
      </w:pPr>
      <w:r>
        <w:rPr>
          <w:rFonts w:hint="default" w:ascii="Times New Roman" w:hAnsi="Times New Roman" w:eastAsia="方正仿宋_GBK" w:cs="Times New Roman"/>
          <w:color w:val="auto"/>
          <w:sz w:val="28"/>
          <w:szCs w:val="28"/>
          <w:highlight w:val="none"/>
          <w:lang w:eastAsia="zh-CN"/>
        </w:rPr>
        <w:t>参选人发生以下条款情况之一者，视为无效比选，其参选文件将被拒绝：</w:t>
      </w:r>
    </w:p>
    <w:p w14:paraId="405CA06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eastAsia="zh-CN"/>
        </w:rPr>
      </w:pPr>
      <w:r>
        <w:rPr>
          <w:rFonts w:hint="default" w:ascii="Times New Roman" w:hAnsi="Times New Roman" w:eastAsia="方正仿宋_GBK" w:cs="Times New Roman"/>
          <w:color w:val="auto"/>
          <w:sz w:val="28"/>
          <w:szCs w:val="28"/>
          <w:highlight w:val="none"/>
          <w:lang w:eastAsia="zh-CN"/>
        </w:rPr>
        <w:t>（1）无</w:t>
      </w:r>
      <w:r>
        <w:rPr>
          <w:rFonts w:hint="default" w:ascii="Times New Roman" w:hAnsi="Times New Roman" w:eastAsia="方正仿宋_GBK" w:cs="Times New Roman"/>
          <w:color w:val="auto"/>
          <w:sz w:val="28"/>
          <w:szCs w:val="28"/>
          <w:highlight w:val="none"/>
          <w:lang w:val="en-US" w:eastAsia="zh-CN"/>
        </w:rPr>
        <w:t>比选</w:t>
      </w:r>
      <w:r>
        <w:rPr>
          <w:rFonts w:hint="default" w:ascii="Times New Roman" w:hAnsi="Times New Roman" w:eastAsia="方正仿宋_GBK" w:cs="Times New Roman"/>
          <w:color w:val="auto"/>
          <w:sz w:val="28"/>
          <w:szCs w:val="28"/>
          <w:highlight w:val="none"/>
          <w:lang w:eastAsia="zh-CN"/>
        </w:rPr>
        <w:t>文件所要求的主要资料。</w:t>
      </w:r>
    </w:p>
    <w:p w14:paraId="39F4E75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eastAsia="zh-CN"/>
        </w:rPr>
      </w:pPr>
      <w:r>
        <w:rPr>
          <w:rFonts w:hint="default" w:ascii="Times New Roman" w:hAnsi="Times New Roman" w:eastAsia="方正仿宋_GBK" w:cs="Times New Roman"/>
          <w:color w:val="auto"/>
          <w:sz w:val="28"/>
          <w:szCs w:val="28"/>
          <w:highlight w:val="none"/>
          <w:lang w:eastAsia="zh-CN"/>
        </w:rPr>
        <w:t>（2）参选文件不按规定签字、盖章、</w:t>
      </w:r>
      <w:r>
        <w:rPr>
          <w:rFonts w:hint="default" w:ascii="Times New Roman" w:hAnsi="Times New Roman" w:eastAsia="方正仿宋_GBK" w:cs="Times New Roman"/>
          <w:color w:val="auto"/>
          <w:sz w:val="28"/>
          <w:szCs w:val="28"/>
          <w:highlight w:val="none"/>
          <w:lang w:val="en-US" w:eastAsia="zh-CN"/>
        </w:rPr>
        <w:t>密封</w:t>
      </w:r>
      <w:r>
        <w:rPr>
          <w:rFonts w:hint="default" w:ascii="Times New Roman" w:hAnsi="Times New Roman" w:eastAsia="方正仿宋_GBK" w:cs="Times New Roman"/>
          <w:color w:val="auto"/>
          <w:sz w:val="28"/>
          <w:szCs w:val="28"/>
          <w:highlight w:val="none"/>
          <w:lang w:eastAsia="zh-CN"/>
        </w:rPr>
        <w:t>。</w:t>
      </w:r>
    </w:p>
    <w:p w14:paraId="6F0653C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eastAsia="zh-CN"/>
        </w:rPr>
      </w:pPr>
      <w:r>
        <w:rPr>
          <w:rFonts w:hint="default" w:ascii="Times New Roman" w:hAnsi="Times New Roman" w:eastAsia="方正仿宋_GBK" w:cs="Times New Roman"/>
          <w:color w:val="auto"/>
          <w:sz w:val="28"/>
          <w:szCs w:val="28"/>
          <w:highlight w:val="none"/>
          <w:lang w:eastAsia="zh-CN"/>
        </w:rPr>
        <w:t>（3）参选人的报价超出规定的报价限价。</w:t>
      </w:r>
    </w:p>
    <w:p w14:paraId="3F0402D5">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eastAsia="zh-CN"/>
        </w:rPr>
        <w:t>（4）参选人参选文件内容有与国家现行法律法规相违背的内容，或附有比选人无法接受的条件。</w:t>
      </w:r>
    </w:p>
    <w:p w14:paraId="7E80CD5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3</w:t>
      </w:r>
      <w:r>
        <w:rPr>
          <w:rFonts w:hint="default" w:ascii="Times New Roman" w:hAnsi="Times New Roman" w:eastAsia="方正仿宋_GBK" w:cs="Times New Roman"/>
          <w:color w:val="auto"/>
          <w:sz w:val="28"/>
          <w:szCs w:val="28"/>
          <w:highlight w:val="none"/>
          <w:lang w:val="en-US" w:eastAsia="zh-CN"/>
        </w:rPr>
        <w:t>、确定中选方式</w:t>
      </w:r>
    </w:p>
    <w:p w14:paraId="0A5884D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eastAsia="zh-CN"/>
        </w:rPr>
      </w:pPr>
      <w:r>
        <w:rPr>
          <w:rFonts w:hint="default" w:ascii="Times New Roman" w:hAnsi="Times New Roman" w:eastAsia="方正仿宋_GBK" w:cs="Times New Roman"/>
          <w:color w:val="auto"/>
          <w:sz w:val="28"/>
          <w:szCs w:val="28"/>
          <w:highlight w:val="none"/>
          <w:lang w:val="en-US" w:eastAsia="zh-CN"/>
        </w:rPr>
        <w:t>比选人应当确定排名第一的中选候选人为中选人。排名第一的中选候选人放弃中选、因不可抗力不能履行合同，或者被查实存在影响中选结果的违法行为等情形，不符合中选条件的，比选人可以按照评审小组提出的中选候选人名单排序依次确定其他中选候选人为中选人，也可以重新组织比选。</w:t>
      </w:r>
    </w:p>
    <w:p w14:paraId="5B8AB5BB">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黑体_GBK" w:cs="Times New Roman"/>
          <w:color w:val="auto"/>
          <w:sz w:val="28"/>
          <w:szCs w:val="28"/>
          <w:highlight w:val="none"/>
          <w:lang w:val="en-US" w:eastAsia="zh-CN"/>
        </w:rPr>
      </w:pPr>
      <w:r>
        <w:rPr>
          <w:rFonts w:hint="eastAsia" w:ascii="Times New Roman" w:hAnsi="Times New Roman" w:eastAsia="方正黑体_GBK" w:cs="Times New Roman"/>
          <w:color w:val="auto"/>
          <w:sz w:val="28"/>
          <w:szCs w:val="28"/>
          <w:highlight w:val="none"/>
          <w:lang w:val="en-US" w:eastAsia="zh-CN"/>
        </w:rPr>
        <w:t>八</w:t>
      </w:r>
      <w:r>
        <w:rPr>
          <w:rFonts w:hint="default" w:ascii="Times New Roman" w:hAnsi="Times New Roman" w:eastAsia="方正黑体_GBK" w:cs="Times New Roman"/>
          <w:color w:val="auto"/>
          <w:sz w:val="28"/>
          <w:szCs w:val="28"/>
          <w:highlight w:val="none"/>
          <w:lang w:val="en-US" w:eastAsia="zh-CN"/>
        </w:rPr>
        <w:t>、拟中选结果的公示</w:t>
      </w:r>
    </w:p>
    <w:p w14:paraId="250A501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中选结果在阿依河景区官网（网址：http://www.ayhjq.com）上进行公示，公示期为3日历天。</w:t>
      </w:r>
    </w:p>
    <w:p w14:paraId="7DF48178">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黑体_GBK" w:cs="Times New Roman"/>
          <w:color w:val="auto"/>
          <w:sz w:val="28"/>
          <w:szCs w:val="28"/>
          <w:highlight w:val="none"/>
          <w:lang w:val="en-US" w:eastAsia="zh-CN"/>
        </w:rPr>
      </w:pPr>
      <w:r>
        <w:rPr>
          <w:rFonts w:hint="eastAsia" w:ascii="Times New Roman" w:hAnsi="Times New Roman" w:eastAsia="方正黑体_GBK" w:cs="Times New Roman"/>
          <w:color w:val="auto"/>
          <w:sz w:val="28"/>
          <w:szCs w:val="28"/>
          <w:highlight w:val="none"/>
          <w:lang w:val="en-US" w:eastAsia="zh-CN"/>
        </w:rPr>
        <w:t>九</w:t>
      </w:r>
      <w:r>
        <w:rPr>
          <w:rFonts w:hint="default" w:ascii="Times New Roman" w:hAnsi="Times New Roman" w:eastAsia="方正黑体_GBK" w:cs="Times New Roman"/>
          <w:color w:val="auto"/>
          <w:sz w:val="28"/>
          <w:szCs w:val="28"/>
          <w:highlight w:val="none"/>
          <w:lang w:val="en-US" w:eastAsia="zh-CN"/>
        </w:rPr>
        <w:t>、联系方式</w:t>
      </w:r>
    </w:p>
    <w:p w14:paraId="7005EDE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比选人： 重庆乌江画廊旅游开发有限公司阿依河分公司</w:t>
      </w:r>
    </w:p>
    <w:p w14:paraId="7E1B479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地  址： 重庆市彭水县绍庆街道阿依河社区6组168号</w:t>
      </w:r>
    </w:p>
    <w:p w14:paraId="6D1233A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 xml:space="preserve">联系人： </w:t>
      </w:r>
      <w:r>
        <w:rPr>
          <w:rFonts w:hint="eastAsia" w:ascii="Times New Roman" w:hAnsi="Times New Roman" w:eastAsia="方正仿宋_GBK" w:cs="Times New Roman"/>
          <w:color w:val="auto"/>
          <w:sz w:val="28"/>
          <w:szCs w:val="28"/>
          <w:highlight w:val="none"/>
          <w:lang w:val="en-US" w:eastAsia="zh-CN"/>
        </w:rPr>
        <w:t>刘</w:t>
      </w:r>
      <w:r>
        <w:rPr>
          <w:rFonts w:hint="default" w:ascii="Times New Roman" w:hAnsi="Times New Roman" w:eastAsia="方正仿宋_GBK" w:cs="Times New Roman"/>
          <w:color w:val="auto"/>
          <w:sz w:val="28"/>
          <w:szCs w:val="28"/>
          <w:highlight w:val="none"/>
          <w:lang w:val="en-US" w:eastAsia="zh-CN"/>
        </w:rPr>
        <w:t>老师</w:t>
      </w:r>
    </w:p>
    <w:p w14:paraId="7C8D9B4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 xml:space="preserve">电  话： </w:t>
      </w:r>
      <w:r>
        <w:rPr>
          <w:rFonts w:hint="eastAsia" w:ascii="Times New Roman" w:hAnsi="Times New Roman" w:eastAsia="方正仿宋_GBK" w:cs="Times New Roman"/>
          <w:color w:val="auto"/>
          <w:sz w:val="28"/>
          <w:szCs w:val="28"/>
          <w:highlight w:val="none"/>
          <w:lang w:val="en-US" w:eastAsia="zh-CN"/>
        </w:rPr>
        <w:t>15025486525</w:t>
      </w:r>
    </w:p>
    <w:p w14:paraId="3FCC604F">
      <w:pPr>
        <w:spacing w:line="287" w:lineRule="auto"/>
        <w:ind w:firstLine="560" w:firstLineChars="200"/>
        <w:rPr>
          <w:rFonts w:hint="default" w:ascii="Times New Roman" w:hAnsi="Times New Roman" w:eastAsia="方正仿宋_GBK" w:cs="Times New Roman"/>
          <w:color w:val="auto"/>
          <w:spacing w:val="-6"/>
          <w:sz w:val="28"/>
          <w:szCs w:val="28"/>
          <w:highlight w:val="none"/>
        </w:rPr>
        <w:sectPr>
          <w:pgSz w:w="11906" w:h="16839"/>
          <w:pgMar w:top="2098" w:right="1587" w:bottom="1984" w:left="1587" w:header="0" w:footer="0" w:gutter="0"/>
          <w:cols w:space="720" w:num="1"/>
        </w:sectPr>
      </w:pPr>
      <w:r>
        <w:rPr>
          <w:rFonts w:hint="default" w:ascii="Times New Roman" w:hAnsi="Times New Roman" w:eastAsia="方正仿宋_GBK" w:cs="Times New Roman"/>
          <w:color w:val="auto"/>
          <w:sz w:val="28"/>
          <w:szCs w:val="28"/>
          <w:highlight w:val="none"/>
          <w:lang w:val="en-US" w:eastAsia="zh-CN"/>
        </w:rPr>
        <w:t>邮  箱：</w:t>
      </w:r>
      <w:r>
        <w:rPr>
          <w:rFonts w:hint="eastAsia" w:ascii="Times New Roman" w:hAnsi="Times New Roman" w:eastAsia="方正仿宋_GBK" w:cs="Times New Roman"/>
          <w:color w:val="auto"/>
          <w:sz w:val="28"/>
          <w:szCs w:val="28"/>
          <w:highlight w:val="none"/>
          <w:lang w:val="en-US" w:eastAsia="zh-CN"/>
        </w:rPr>
        <w:t xml:space="preserve"> 876447439</w:t>
      </w:r>
      <w:r>
        <w:rPr>
          <w:rFonts w:hint="default" w:ascii="Times New Roman" w:hAnsi="Times New Roman" w:eastAsia="方正仿宋_GBK" w:cs="Times New Roman"/>
          <w:color w:val="auto"/>
          <w:sz w:val="28"/>
          <w:szCs w:val="28"/>
          <w:highlight w:val="none"/>
          <w:lang w:val="en-US" w:eastAsia="zh-CN"/>
        </w:rPr>
        <w:t>@qq.com</w:t>
      </w:r>
    </w:p>
    <w:p w14:paraId="0627D709">
      <w:pPr>
        <w:ind w:firstLine="640" w:firstLineChars="200"/>
        <w:jc w:val="center"/>
        <w:rPr>
          <w:rFonts w:hint="default" w:ascii="Times New Roman" w:hAnsi="Times New Roman" w:eastAsia="方正黑体_GBK" w:cs="Times New Roman"/>
          <w:color w:val="auto"/>
          <w:sz w:val="32"/>
          <w:szCs w:val="20"/>
          <w:highlight w:val="none"/>
        </w:rPr>
      </w:pPr>
      <w:r>
        <w:rPr>
          <w:rFonts w:hint="default" w:ascii="Times New Roman" w:hAnsi="Times New Roman" w:eastAsia="方正黑体_GBK" w:cs="Times New Roman"/>
          <w:color w:val="auto"/>
          <w:sz w:val="32"/>
          <w:szCs w:val="20"/>
          <w:highlight w:val="none"/>
        </w:rPr>
        <w:t>第二部分  商务条款</w:t>
      </w:r>
    </w:p>
    <w:p w14:paraId="52FA904C">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68ED74C4">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黑体_GBK" w:cs="Times New Roman"/>
          <w:color w:val="auto"/>
          <w:sz w:val="28"/>
          <w:szCs w:val="28"/>
          <w:highlight w:val="none"/>
        </w:rPr>
        <w:t>一、</w:t>
      </w:r>
      <w:r>
        <w:rPr>
          <w:rFonts w:hint="eastAsia" w:ascii="Times New Roman" w:hAnsi="Times New Roman" w:eastAsia="方正黑体_GBK" w:cs="Times New Roman"/>
          <w:color w:val="auto"/>
          <w:sz w:val="28"/>
          <w:szCs w:val="28"/>
          <w:highlight w:val="none"/>
          <w:lang w:val="en-US" w:eastAsia="zh-CN"/>
        </w:rPr>
        <w:t>施工</w:t>
      </w:r>
      <w:r>
        <w:rPr>
          <w:rFonts w:hint="default" w:ascii="Times New Roman" w:hAnsi="Times New Roman" w:eastAsia="方正黑体_GBK" w:cs="Times New Roman"/>
          <w:color w:val="auto"/>
          <w:sz w:val="28"/>
          <w:szCs w:val="28"/>
          <w:highlight w:val="none"/>
        </w:rPr>
        <w:t>周期要求</w:t>
      </w:r>
    </w:p>
    <w:p w14:paraId="30C187A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工期要求：自签订合同之日</w:t>
      </w:r>
      <w:r>
        <w:rPr>
          <w:rFonts w:hint="default" w:ascii="Times New Roman" w:hAnsi="Times New Roman" w:eastAsia="方正仿宋_GBK" w:cs="Times New Roman"/>
          <w:color w:val="auto"/>
          <w:sz w:val="28"/>
          <w:szCs w:val="28"/>
          <w:highlight w:val="none"/>
          <w:lang w:val="en-US" w:eastAsia="zh-CN"/>
        </w:rPr>
        <w:t>后</w:t>
      </w:r>
      <w:r>
        <w:rPr>
          <w:rFonts w:hint="eastAsia" w:ascii="Times New Roman" w:hAnsi="Times New Roman" w:eastAsia="方正仿宋_GBK" w:cs="Times New Roman"/>
          <w:color w:val="auto"/>
          <w:sz w:val="28"/>
          <w:szCs w:val="28"/>
          <w:highlight w:val="none"/>
          <w:lang w:val="en-US" w:eastAsia="zh-CN"/>
        </w:rPr>
        <w:t>30</w:t>
      </w:r>
      <w:r>
        <w:rPr>
          <w:rFonts w:hint="default" w:ascii="Times New Roman" w:hAnsi="Times New Roman" w:eastAsia="方正仿宋_GBK" w:cs="Times New Roman"/>
          <w:color w:val="auto"/>
          <w:sz w:val="28"/>
          <w:szCs w:val="28"/>
          <w:highlight w:val="none"/>
          <w:lang w:val="en-US" w:eastAsia="zh-CN"/>
        </w:rPr>
        <w:t>日历</w:t>
      </w:r>
      <w:r>
        <w:rPr>
          <w:rFonts w:hint="default" w:ascii="Times New Roman" w:hAnsi="Times New Roman" w:eastAsia="方正仿宋_GBK" w:cs="Times New Roman"/>
          <w:color w:val="auto"/>
          <w:sz w:val="28"/>
          <w:szCs w:val="28"/>
          <w:highlight w:val="none"/>
        </w:rPr>
        <w:t>天内完成。</w:t>
      </w:r>
    </w:p>
    <w:p w14:paraId="5E4AB49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黑体_GBK" w:cs="Times New Roman"/>
          <w:color w:val="auto"/>
          <w:sz w:val="28"/>
          <w:szCs w:val="28"/>
          <w:highlight w:val="none"/>
        </w:rPr>
        <w:t>二、质量要求及安全要求</w:t>
      </w:r>
    </w:p>
    <w:p w14:paraId="000F55E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rPr>
        <w:t>符合国家、重庆市现行相关技术标准、规范、规程等相关要求</w:t>
      </w:r>
      <w:r>
        <w:rPr>
          <w:rFonts w:hint="default" w:ascii="Times New Roman" w:hAnsi="Times New Roman" w:eastAsia="方正仿宋_GBK" w:cs="Times New Roman"/>
          <w:color w:val="auto"/>
          <w:sz w:val="28"/>
          <w:szCs w:val="28"/>
          <w:highlight w:val="none"/>
          <w:lang w:eastAsia="zh-CN"/>
        </w:rPr>
        <w:t>，服务</w:t>
      </w:r>
      <w:r>
        <w:rPr>
          <w:rFonts w:hint="default" w:ascii="Times New Roman" w:hAnsi="Times New Roman" w:eastAsia="方正仿宋_GBK" w:cs="Times New Roman"/>
          <w:color w:val="auto"/>
          <w:sz w:val="28"/>
          <w:szCs w:val="28"/>
          <w:highlight w:val="none"/>
        </w:rPr>
        <w:t>期间安全由</w:t>
      </w:r>
      <w:r>
        <w:rPr>
          <w:rFonts w:hint="default" w:ascii="Times New Roman" w:hAnsi="Times New Roman" w:eastAsia="方正仿宋_GBK" w:cs="Times New Roman"/>
          <w:color w:val="auto"/>
          <w:sz w:val="28"/>
          <w:szCs w:val="28"/>
          <w:highlight w:val="none"/>
          <w:lang w:eastAsia="zh-CN"/>
        </w:rPr>
        <w:t>服务</w:t>
      </w:r>
      <w:r>
        <w:rPr>
          <w:rFonts w:hint="default" w:ascii="Times New Roman" w:hAnsi="Times New Roman" w:eastAsia="方正仿宋_GBK" w:cs="Times New Roman"/>
          <w:color w:val="auto"/>
          <w:sz w:val="28"/>
          <w:szCs w:val="28"/>
          <w:highlight w:val="none"/>
        </w:rPr>
        <w:t>单位</w:t>
      </w:r>
      <w:r>
        <w:rPr>
          <w:rFonts w:hint="default" w:ascii="Times New Roman" w:hAnsi="Times New Roman" w:eastAsia="方正仿宋_GBK" w:cs="Times New Roman"/>
          <w:color w:val="auto"/>
          <w:sz w:val="28"/>
          <w:szCs w:val="28"/>
          <w:highlight w:val="none"/>
          <w:lang w:eastAsia="zh-CN"/>
        </w:rPr>
        <w:t>（中选人）</w:t>
      </w:r>
      <w:r>
        <w:rPr>
          <w:rFonts w:hint="default" w:ascii="Times New Roman" w:hAnsi="Times New Roman" w:eastAsia="方正仿宋_GBK" w:cs="Times New Roman"/>
          <w:color w:val="auto"/>
          <w:sz w:val="28"/>
          <w:szCs w:val="28"/>
          <w:highlight w:val="none"/>
        </w:rPr>
        <w:t>全权负责。</w:t>
      </w:r>
    </w:p>
    <w:p w14:paraId="540629F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黑体_GBK" w:cs="Times New Roman"/>
          <w:color w:val="auto"/>
          <w:sz w:val="28"/>
          <w:szCs w:val="28"/>
          <w:highlight w:val="none"/>
          <w:lang w:val="en-US" w:eastAsia="zh-CN"/>
        </w:rPr>
      </w:pPr>
      <w:r>
        <w:rPr>
          <w:rFonts w:hint="default" w:ascii="Times New Roman" w:hAnsi="Times New Roman" w:eastAsia="方正黑体_GBK" w:cs="Times New Roman"/>
          <w:color w:val="auto"/>
          <w:sz w:val="28"/>
          <w:szCs w:val="28"/>
          <w:highlight w:val="none"/>
          <w:lang w:val="en-US" w:eastAsia="zh-CN"/>
        </w:rPr>
        <w:t>三、费用承担</w:t>
      </w:r>
    </w:p>
    <w:p w14:paraId="23F0F349">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eastAsia="zh-CN"/>
        </w:rPr>
      </w:pPr>
      <w:r>
        <w:rPr>
          <w:rFonts w:hint="default" w:ascii="Times New Roman" w:hAnsi="Times New Roman" w:eastAsia="方正仿宋_GBK" w:cs="Times New Roman"/>
          <w:color w:val="auto"/>
          <w:sz w:val="28"/>
          <w:szCs w:val="28"/>
          <w:highlight w:val="none"/>
          <w:lang w:eastAsia="zh-CN"/>
        </w:rPr>
        <w:t>参选人准备和参加</w:t>
      </w:r>
      <w:r>
        <w:rPr>
          <w:rFonts w:hint="default" w:ascii="Times New Roman" w:hAnsi="Times New Roman" w:eastAsia="方正仿宋_GBK" w:cs="Times New Roman"/>
          <w:color w:val="auto"/>
          <w:sz w:val="28"/>
          <w:szCs w:val="28"/>
          <w:highlight w:val="none"/>
          <w:lang w:val="en-US" w:eastAsia="zh-CN"/>
        </w:rPr>
        <w:t>比选</w:t>
      </w:r>
      <w:r>
        <w:rPr>
          <w:rFonts w:hint="default" w:ascii="Times New Roman" w:hAnsi="Times New Roman" w:eastAsia="方正仿宋_GBK" w:cs="Times New Roman"/>
          <w:color w:val="auto"/>
          <w:sz w:val="28"/>
          <w:szCs w:val="28"/>
          <w:highlight w:val="none"/>
          <w:lang w:eastAsia="zh-CN"/>
        </w:rPr>
        <w:t>活动发生的费用自理。</w:t>
      </w:r>
    </w:p>
    <w:p w14:paraId="6840F0A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黑体_GBK" w:cs="Times New Roman"/>
          <w:color w:val="auto"/>
          <w:sz w:val="28"/>
          <w:szCs w:val="28"/>
          <w:highlight w:val="none"/>
          <w:lang w:val="en-US" w:eastAsia="zh-CN"/>
        </w:rPr>
        <w:t>四、踏勘现场及答疑</w:t>
      </w:r>
    </w:p>
    <w:p w14:paraId="1454405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eastAsia="zh-CN"/>
        </w:rPr>
      </w:pPr>
      <w:r>
        <w:rPr>
          <w:rFonts w:hint="default" w:ascii="Times New Roman" w:hAnsi="Times New Roman" w:eastAsia="方正仿宋_GBK" w:cs="Times New Roman"/>
          <w:color w:val="auto"/>
          <w:sz w:val="28"/>
          <w:szCs w:val="28"/>
          <w:highlight w:val="none"/>
          <w:lang w:eastAsia="zh-CN"/>
        </w:rPr>
        <w:t>1、</w:t>
      </w:r>
      <w:r>
        <w:rPr>
          <w:rFonts w:hint="default" w:ascii="Times New Roman" w:hAnsi="Times New Roman" w:eastAsia="方正仿宋_GBK" w:cs="Times New Roman"/>
          <w:color w:val="auto"/>
          <w:sz w:val="28"/>
          <w:szCs w:val="28"/>
          <w:highlight w:val="none"/>
          <w:lang w:val="en-US" w:eastAsia="zh-CN"/>
        </w:rPr>
        <w:t>比选人</w:t>
      </w:r>
      <w:r>
        <w:rPr>
          <w:rFonts w:hint="default" w:ascii="Times New Roman" w:hAnsi="Times New Roman" w:eastAsia="方正仿宋_GBK" w:cs="Times New Roman"/>
          <w:color w:val="auto"/>
          <w:sz w:val="28"/>
          <w:szCs w:val="28"/>
          <w:highlight w:val="none"/>
          <w:lang w:eastAsia="zh-CN"/>
        </w:rPr>
        <w:t>不组织现场踏勘，参选人自行对项目现场和周围环境进行考察，不管参选人是否考察过现场，均被认为在递交参选文件之前已考察过现场。</w:t>
      </w:r>
    </w:p>
    <w:p w14:paraId="35DD8554">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eastAsia="zh-CN"/>
        </w:rPr>
      </w:pPr>
      <w:r>
        <w:rPr>
          <w:rFonts w:hint="default" w:ascii="Times New Roman" w:hAnsi="Times New Roman" w:eastAsia="方正仿宋_GBK" w:cs="Times New Roman"/>
          <w:color w:val="auto"/>
          <w:sz w:val="28"/>
          <w:szCs w:val="28"/>
          <w:highlight w:val="none"/>
          <w:lang w:val="en-US" w:eastAsia="zh-CN"/>
        </w:rPr>
        <w:t>2、</w:t>
      </w:r>
      <w:r>
        <w:rPr>
          <w:rFonts w:hint="default" w:ascii="Times New Roman" w:hAnsi="Times New Roman" w:eastAsia="方正仿宋_GBK" w:cs="Times New Roman"/>
          <w:color w:val="auto"/>
          <w:sz w:val="28"/>
          <w:szCs w:val="28"/>
          <w:highlight w:val="none"/>
          <w:lang w:eastAsia="zh-CN"/>
        </w:rPr>
        <w:t>参选人自行承担现场考察的全部费用、责任和风险。</w:t>
      </w:r>
    </w:p>
    <w:p w14:paraId="6B429ADD">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eastAsia="zh-CN"/>
        </w:rPr>
      </w:pPr>
      <w:r>
        <w:rPr>
          <w:rFonts w:hint="default" w:ascii="Times New Roman" w:hAnsi="Times New Roman" w:eastAsia="方正仿宋_GBK" w:cs="Times New Roman"/>
          <w:color w:val="auto"/>
          <w:sz w:val="28"/>
          <w:szCs w:val="28"/>
          <w:highlight w:val="none"/>
          <w:lang w:val="en-US" w:eastAsia="zh-CN"/>
        </w:rPr>
        <w:t>3、</w:t>
      </w:r>
      <w:r>
        <w:rPr>
          <w:rFonts w:hint="default" w:ascii="Times New Roman" w:hAnsi="Times New Roman" w:eastAsia="方正仿宋_GBK" w:cs="Times New Roman"/>
          <w:color w:val="auto"/>
          <w:sz w:val="28"/>
          <w:szCs w:val="28"/>
          <w:highlight w:val="none"/>
          <w:lang w:eastAsia="zh-CN"/>
        </w:rPr>
        <w:t>本项目不举行答疑会，项目详情直接向</w:t>
      </w:r>
      <w:r>
        <w:rPr>
          <w:rFonts w:hint="default" w:ascii="Times New Roman" w:hAnsi="Times New Roman" w:eastAsia="方正仿宋_GBK" w:cs="Times New Roman"/>
          <w:color w:val="auto"/>
          <w:sz w:val="28"/>
          <w:szCs w:val="28"/>
          <w:highlight w:val="none"/>
          <w:lang w:val="en-US" w:eastAsia="zh-CN"/>
        </w:rPr>
        <w:t>比选人</w:t>
      </w:r>
      <w:r>
        <w:rPr>
          <w:rFonts w:hint="default" w:ascii="Times New Roman" w:hAnsi="Times New Roman" w:eastAsia="方正仿宋_GBK" w:cs="Times New Roman"/>
          <w:color w:val="auto"/>
          <w:sz w:val="28"/>
          <w:szCs w:val="28"/>
          <w:highlight w:val="none"/>
          <w:lang w:eastAsia="zh-CN"/>
        </w:rPr>
        <w:t>了解。</w:t>
      </w:r>
    </w:p>
    <w:p w14:paraId="2464A33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黑体_GBK" w:cs="Times New Roman"/>
          <w:color w:val="auto"/>
          <w:sz w:val="28"/>
          <w:szCs w:val="28"/>
          <w:highlight w:val="none"/>
          <w:lang w:val="en-US" w:eastAsia="zh-CN"/>
        </w:rPr>
      </w:pPr>
      <w:r>
        <w:rPr>
          <w:rFonts w:hint="default" w:ascii="Times New Roman" w:hAnsi="Times New Roman" w:eastAsia="方正黑体_GBK" w:cs="Times New Roman"/>
          <w:color w:val="auto"/>
          <w:sz w:val="28"/>
          <w:szCs w:val="28"/>
          <w:highlight w:val="none"/>
          <w:lang w:val="en-US" w:eastAsia="zh-CN"/>
        </w:rPr>
        <w:t>五、合同签订</w:t>
      </w:r>
    </w:p>
    <w:p w14:paraId="67CDC78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黑体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rPr>
        <w:t>中标单位须在比选</w:t>
      </w:r>
      <w:r>
        <w:rPr>
          <w:rFonts w:hint="default" w:ascii="Times New Roman" w:hAnsi="Times New Roman" w:eastAsia="方正仿宋_GBK" w:cs="Times New Roman"/>
          <w:color w:val="auto"/>
          <w:sz w:val="28"/>
          <w:szCs w:val="28"/>
          <w:highlight w:val="none"/>
          <w:lang w:eastAsia="zh-CN"/>
        </w:rPr>
        <w:t>公示</w:t>
      </w:r>
      <w:r>
        <w:rPr>
          <w:rFonts w:hint="default" w:ascii="Times New Roman" w:hAnsi="Times New Roman" w:eastAsia="方正仿宋_GBK" w:cs="Times New Roman"/>
          <w:color w:val="auto"/>
          <w:sz w:val="28"/>
          <w:szCs w:val="28"/>
          <w:highlight w:val="none"/>
        </w:rPr>
        <w:t>后</w:t>
      </w:r>
      <w:r>
        <w:rPr>
          <w:rFonts w:hint="default" w:ascii="Times New Roman" w:hAnsi="Times New Roman" w:eastAsia="方正仿宋_GBK" w:cs="Times New Roman"/>
          <w:color w:val="auto"/>
          <w:sz w:val="28"/>
          <w:szCs w:val="28"/>
          <w:highlight w:val="none"/>
          <w:lang w:val="en-US" w:eastAsia="zh-CN"/>
        </w:rPr>
        <w:t>5</w:t>
      </w:r>
      <w:r>
        <w:rPr>
          <w:rFonts w:hint="default" w:ascii="Times New Roman" w:hAnsi="Times New Roman" w:eastAsia="方正仿宋_GBK" w:cs="Times New Roman"/>
          <w:color w:val="auto"/>
          <w:sz w:val="28"/>
          <w:szCs w:val="28"/>
          <w:highlight w:val="none"/>
        </w:rPr>
        <w:t>日内与</w:t>
      </w:r>
      <w:r>
        <w:rPr>
          <w:rFonts w:hint="default" w:ascii="Times New Roman" w:hAnsi="Times New Roman" w:eastAsia="方正仿宋_GBK" w:cs="Times New Roman"/>
          <w:color w:val="auto"/>
          <w:sz w:val="28"/>
          <w:szCs w:val="28"/>
          <w:highlight w:val="none"/>
          <w:lang w:eastAsia="zh-CN"/>
        </w:rPr>
        <w:t>比选人</w:t>
      </w:r>
      <w:r>
        <w:rPr>
          <w:rFonts w:hint="default" w:ascii="Times New Roman" w:hAnsi="Times New Roman" w:eastAsia="方正仿宋_GBK" w:cs="Times New Roman"/>
          <w:color w:val="auto"/>
          <w:sz w:val="28"/>
          <w:szCs w:val="28"/>
          <w:highlight w:val="none"/>
        </w:rPr>
        <w:t>签订合同。</w:t>
      </w:r>
    </w:p>
    <w:p w14:paraId="4E64119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黑体_GBK" w:cs="Times New Roman"/>
          <w:color w:val="auto"/>
          <w:sz w:val="28"/>
          <w:szCs w:val="28"/>
          <w:highlight w:val="none"/>
          <w:lang w:val="en-US" w:eastAsia="zh-CN"/>
        </w:rPr>
      </w:pPr>
      <w:r>
        <w:rPr>
          <w:rFonts w:hint="default" w:ascii="Times New Roman" w:hAnsi="Times New Roman" w:eastAsia="方正黑体_GBK" w:cs="Times New Roman"/>
          <w:color w:val="auto"/>
          <w:sz w:val="28"/>
          <w:szCs w:val="28"/>
          <w:highlight w:val="none"/>
          <w:lang w:val="en-US" w:eastAsia="zh-CN"/>
        </w:rPr>
        <w:t>六、安全文明施工</w:t>
      </w:r>
    </w:p>
    <w:p w14:paraId="5861366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eastAsia="zh-CN"/>
        </w:rPr>
      </w:pPr>
      <w:r>
        <w:rPr>
          <w:rFonts w:hint="default" w:ascii="Times New Roman" w:hAnsi="Times New Roman" w:eastAsia="方正仿宋_GBK" w:cs="Times New Roman"/>
          <w:color w:val="auto"/>
          <w:sz w:val="28"/>
          <w:szCs w:val="28"/>
          <w:highlight w:val="none"/>
          <w:lang w:val="en-US" w:eastAsia="zh-CN"/>
        </w:rPr>
        <w:t>1.中选单位</w:t>
      </w:r>
      <w:r>
        <w:rPr>
          <w:rFonts w:hint="default" w:ascii="Times New Roman" w:hAnsi="Times New Roman" w:eastAsia="方正仿宋_GBK" w:cs="Times New Roman"/>
          <w:color w:val="auto"/>
          <w:sz w:val="28"/>
          <w:szCs w:val="28"/>
          <w:highlight w:val="none"/>
        </w:rPr>
        <w:t>做好施工组织管理、文明施工、保护施工现场及周边环境</w:t>
      </w:r>
      <w:r>
        <w:rPr>
          <w:rFonts w:hint="default" w:ascii="Times New Roman" w:hAnsi="Times New Roman" w:eastAsia="方正仿宋_GBK" w:cs="Times New Roman"/>
          <w:color w:val="auto"/>
          <w:sz w:val="28"/>
          <w:szCs w:val="28"/>
          <w:highlight w:val="none"/>
          <w:lang w:eastAsia="zh-CN"/>
        </w:rPr>
        <w:t>。</w:t>
      </w:r>
    </w:p>
    <w:p w14:paraId="15504E1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黑体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2.中选单位</w:t>
      </w:r>
      <w:r>
        <w:rPr>
          <w:rFonts w:hint="default" w:ascii="Times New Roman" w:hAnsi="Times New Roman" w:eastAsia="方正仿宋_GBK" w:cs="Times New Roman"/>
          <w:color w:val="auto"/>
          <w:sz w:val="28"/>
          <w:szCs w:val="28"/>
          <w:highlight w:val="none"/>
        </w:rPr>
        <w:t>执行安全生产相关法律、法规及标准，若在施工过程中出现安全事故，承担施工生产安全事故的全部责任及损失。为现场施工人员购买国家规定的保险，产生的费用自行承担。施工过程中必须遵守甲方有关质量、进度、投资、安全等相关管理办法及规定，如非合理原因违反相关管理办法及规定，视为乙方违约，并承担相应违约责任。</w:t>
      </w:r>
    </w:p>
    <w:p w14:paraId="37977EA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黑体_GBK" w:cs="Times New Roman"/>
          <w:color w:val="auto"/>
          <w:sz w:val="28"/>
          <w:szCs w:val="28"/>
          <w:highlight w:val="none"/>
          <w:lang w:val="en-US" w:eastAsia="zh-CN"/>
        </w:rPr>
      </w:pPr>
      <w:r>
        <w:rPr>
          <w:rFonts w:hint="default" w:ascii="Times New Roman" w:hAnsi="Times New Roman" w:eastAsia="方正黑体_GBK" w:cs="Times New Roman"/>
          <w:color w:val="auto"/>
          <w:sz w:val="28"/>
          <w:szCs w:val="28"/>
          <w:highlight w:val="none"/>
          <w:lang w:val="en-US" w:eastAsia="zh-CN"/>
        </w:rPr>
        <w:t>七、付款方式</w:t>
      </w:r>
    </w:p>
    <w:p w14:paraId="0E7C34EC">
      <w:pPr>
        <w:ind w:firstLine="554" w:firstLineChars="198"/>
        <w:rPr>
          <w:rFonts w:hint="default" w:ascii="Times New Roman" w:hAnsi="Times New Roman" w:eastAsia="方正仿宋_GBK" w:cs="Times New Roman"/>
          <w:color w:val="auto"/>
          <w:sz w:val="28"/>
          <w:szCs w:val="28"/>
          <w:highlight w:val="none"/>
          <w:lang w:eastAsia="zh-CN"/>
        </w:rPr>
      </w:pPr>
      <w:r>
        <w:rPr>
          <w:rFonts w:hint="default" w:ascii="Times New Roman" w:hAnsi="Times New Roman" w:eastAsia="方正仿宋_GBK" w:cs="Times New Roman"/>
          <w:color w:val="auto"/>
          <w:sz w:val="28"/>
          <w:szCs w:val="28"/>
          <w:highlight w:val="none"/>
          <w:lang w:eastAsia="zh-CN"/>
        </w:rPr>
        <w:t>1、支付条款：</w:t>
      </w:r>
      <w:r>
        <w:rPr>
          <w:rFonts w:hint="default" w:ascii="Times New Roman" w:hAnsi="Times New Roman" w:eastAsia="方正仿宋_GBK" w:cs="Times New Roman"/>
          <w:color w:val="auto"/>
          <w:sz w:val="28"/>
          <w:szCs w:val="28"/>
          <w:highlight w:val="none"/>
          <w:lang w:val="en-US" w:eastAsia="zh-CN"/>
        </w:rPr>
        <w:t>工程完工</w:t>
      </w:r>
      <w:r>
        <w:rPr>
          <w:rFonts w:hint="default" w:ascii="Times New Roman" w:hAnsi="Times New Roman" w:eastAsia="方正仿宋_GBK" w:cs="Times New Roman"/>
          <w:color w:val="auto"/>
          <w:sz w:val="28"/>
          <w:szCs w:val="28"/>
          <w:highlight w:val="none"/>
          <w:lang w:eastAsia="zh-CN"/>
        </w:rPr>
        <w:t>并验收支付至</w:t>
      </w:r>
      <w:r>
        <w:rPr>
          <w:rFonts w:hint="eastAsia" w:ascii="Times New Roman" w:hAnsi="Times New Roman" w:eastAsia="方正仿宋_GBK" w:cs="Times New Roman"/>
          <w:color w:val="auto"/>
          <w:sz w:val="28"/>
          <w:szCs w:val="28"/>
          <w:highlight w:val="none"/>
          <w:lang w:val="en-US" w:eastAsia="zh-CN"/>
        </w:rPr>
        <w:t>合同总价</w:t>
      </w:r>
      <w:r>
        <w:rPr>
          <w:rFonts w:hint="default" w:ascii="Times New Roman" w:hAnsi="Times New Roman" w:eastAsia="方正仿宋_GBK" w:cs="Times New Roman"/>
          <w:color w:val="auto"/>
          <w:sz w:val="28"/>
          <w:szCs w:val="28"/>
          <w:highlight w:val="none"/>
          <w:lang w:val="en-US" w:eastAsia="zh-CN"/>
        </w:rPr>
        <w:t>的70</w:t>
      </w:r>
      <w:r>
        <w:rPr>
          <w:rFonts w:hint="default" w:ascii="Times New Roman" w:hAnsi="Times New Roman" w:eastAsia="方正仿宋_GBK" w:cs="Times New Roman"/>
          <w:color w:val="auto"/>
          <w:sz w:val="28"/>
          <w:szCs w:val="28"/>
          <w:highlight w:val="none"/>
          <w:lang w:eastAsia="zh-CN"/>
        </w:rPr>
        <w:t>%，</w:t>
      </w:r>
      <w:r>
        <w:rPr>
          <w:rFonts w:hint="default" w:ascii="Times New Roman" w:hAnsi="Times New Roman" w:eastAsia="方正仿宋_GBK" w:cs="Times New Roman"/>
          <w:color w:val="auto"/>
          <w:sz w:val="28"/>
          <w:szCs w:val="28"/>
          <w:highlight w:val="none"/>
          <w:lang w:val="en-US" w:eastAsia="zh-CN"/>
        </w:rPr>
        <w:t>结算审计后支付至结算价的95%，</w:t>
      </w:r>
      <w:r>
        <w:rPr>
          <w:rFonts w:hint="default" w:ascii="Times New Roman" w:hAnsi="Times New Roman" w:eastAsia="方正仿宋_GBK" w:cs="Times New Roman"/>
          <w:color w:val="auto"/>
          <w:sz w:val="28"/>
          <w:szCs w:val="28"/>
          <w:highlight w:val="none"/>
          <w:lang w:eastAsia="zh-CN"/>
        </w:rPr>
        <w:t>工程质保期</w:t>
      </w:r>
      <w:r>
        <w:rPr>
          <w:rFonts w:hint="default" w:ascii="Times New Roman" w:hAnsi="Times New Roman" w:eastAsia="方正仿宋_GBK" w:cs="Times New Roman"/>
          <w:color w:val="auto"/>
          <w:sz w:val="28"/>
          <w:szCs w:val="28"/>
          <w:highlight w:val="none"/>
          <w:lang w:val="en-US" w:eastAsia="zh-CN"/>
        </w:rPr>
        <w:t>满</w:t>
      </w:r>
      <w:r>
        <w:rPr>
          <w:rFonts w:hint="default" w:ascii="Times New Roman" w:hAnsi="Times New Roman" w:eastAsia="方正仿宋_GBK" w:cs="Times New Roman"/>
          <w:color w:val="auto"/>
          <w:sz w:val="28"/>
          <w:szCs w:val="28"/>
          <w:highlight w:val="none"/>
          <w:lang w:eastAsia="zh-CN"/>
        </w:rPr>
        <w:t>后</w:t>
      </w:r>
      <w:r>
        <w:rPr>
          <w:rFonts w:hint="default" w:ascii="Times New Roman" w:hAnsi="Times New Roman" w:eastAsia="方正仿宋_GBK" w:cs="Times New Roman"/>
          <w:color w:val="auto"/>
          <w:sz w:val="28"/>
          <w:szCs w:val="28"/>
          <w:highlight w:val="none"/>
          <w:lang w:val="en-US" w:eastAsia="zh-CN"/>
        </w:rPr>
        <w:t>支</w:t>
      </w:r>
      <w:r>
        <w:rPr>
          <w:rFonts w:hint="default" w:ascii="Times New Roman" w:hAnsi="Times New Roman" w:eastAsia="方正仿宋_GBK" w:cs="Times New Roman"/>
          <w:color w:val="auto"/>
          <w:sz w:val="28"/>
          <w:szCs w:val="28"/>
          <w:highlight w:val="none"/>
          <w:lang w:eastAsia="zh-CN"/>
        </w:rPr>
        <w:t>付至</w:t>
      </w:r>
      <w:r>
        <w:rPr>
          <w:rFonts w:hint="default" w:ascii="Times New Roman" w:hAnsi="Times New Roman" w:eastAsia="方正仿宋_GBK" w:cs="Times New Roman"/>
          <w:color w:val="auto"/>
          <w:sz w:val="28"/>
          <w:szCs w:val="28"/>
          <w:highlight w:val="none"/>
          <w:lang w:val="en-US" w:eastAsia="zh-CN"/>
        </w:rPr>
        <w:t>结算价的</w:t>
      </w:r>
      <w:r>
        <w:rPr>
          <w:rFonts w:hint="default" w:ascii="Times New Roman" w:hAnsi="Times New Roman" w:eastAsia="方正仿宋_GBK" w:cs="Times New Roman"/>
          <w:color w:val="auto"/>
          <w:sz w:val="28"/>
          <w:szCs w:val="28"/>
          <w:highlight w:val="none"/>
          <w:lang w:eastAsia="zh-CN"/>
        </w:rPr>
        <w:t>100%</w:t>
      </w:r>
      <w:r>
        <w:rPr>
          <w:rFonts w:hint="eastAsia" w:ascii="Times New Roman" w:hAnsi="Times New Roman" w:eastAsia="方正仿宋_GBK" w:cs="Times New Roman"/>
          <w:color w:val="auto"/>
          <w:sz w:val="28"/>
          <w:szCs w:val="28"/>
          <w:highlight w:val="none"/>
          <w:lang w:eastAsia="zh-CN"/>
        </w:rPr>
        <w:t>，待缺陷责任期满后返还。</w:t>
      </w:r>
    </w:p>
    <w:p w14:paraId="2517457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eastAsia="zh-CN"/>
        </w:rPr>
        <w:t>2、付款要求：比选人付款前中选人须开具等额增值税专用发票，否则比选人有权拒绝付款并不承担延迟付款的责任。</w:t>
      </w:r>
    </w:p>
    <w:p w14:paraId="7A88C14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黑体_GBK" w:cs="Times New Roman"/>
          <w:color w:val="auto"/>
          <w:sz w:val="28"/>
          <w:szCs w:val="28"/>
          <w:highlight w:val="none"/>
          <w:lang w:val="en-US" w:eastAsia="zh-CN"/>
        </w:rPr>
      </w:pPr>
      <w:r>
        <w:rPr>
          <w:rFonts w:hint="default" w:ascii="Times New Roman" w:hAnsi="Times New Roman" w:eastAsia="方正黑体_GBK" w:cs="Times New Roman"/>
          <w:color w:val="auto"/>
          <w:sz w:val="28"/>
          <w:szCs w:val="28"/>
          <w:highlight w:val="none"/>
          <w:lang w:val="en-US" w:eastAsia="zh-CN"/>
        </w:rPr>
        <w:t>八、解决争议方式</w:t>
      </w:r>
    </w:p>
    <w:p w14:paraId="2DE8122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本</w:t>
      </w:r>
      <w:r>
        <w:rPr>
          <w:rFonts w:hint="eastAsia" w:ascii="Times New Roman" w:hAnsi="Times New Roman" w:eastAsia="方正仿宋_GBK" w:cs="Times New Roman"/>
          <w:color w:val="auto"/>
          <w:sz w:val="28"/>
          <w:szCs w:val="28"/>
          <w:highlight w:val="none"/>
          <w:lang w:val="en-US" w:eastAsia="zh-CN"/>
        </w:rPr>
        <w:t>项目</w:t>
      </w:r>
      <w:r>
        <w:rPr>
          <w:rFonts w:hint="default" w:ascii="Times New Roman" w:hAnsi="Times New Roman" w:eastAsia="方正仿宋_GBK" w:cs="Times New Roman"/>
          <w:color w:val="auto"/>
          <w:sz w:val="28"/>
          <w:szCs w:val="28"/>
          <w:highlight w:val="none"/>
        </w:rPr>
        <w:t>在履行过程中发生的争议，由双方当事人协商解决，协商不成的提交项目所在地人民法院提起诉讼。</w:t>
      </w:r>
    </w:p>
    <w:p w14:paraId="382E2AD4">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方正仿宋_GBK" w:cs="Times New Roman"/>
          <w:color w:val="auto"/>
          <w:sz w:val="30"/>
          <w:szCs w:val="30"/>
          <w:highlight w:val="none"/>
        </w:rPr>
      </w:pPr>
    </w:p>
    <w:p w14:paraId="4CAE8877">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方正仿宋_GBK" w:cs="Times New Roman"/>
          <w:color w:val="auto"/>
          <w:sz w:val="30"/>
          <w:szCs w:val="30"/>
          <w:highlight w:val="none"/>
        </w:rPr>
      </w:pPr>
    </w:p>
    <w:p w14:paraId="6C1D533C">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方正仿宋_GBK" w:cs="Times New Roman"/>
          <w:color w:val="auto"/>
          <w:sz w:val="30"/>
          <w:szCs w:val="30"/>
          <w:highlight w:val="none"/>
        </w:rPr>
      </w:pPr>
    </w:p>
    <w:p w14:paraId="6B50B814">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方正仿宋_GBK" w:cs="Times New Roman"/>
          <w:color w:val="auto"/>
          <w:sz w:val="30"/>
          <w:szCs w:val="30"/>
          <w:highlight w:val="none"/>
        </w:rPr>
      </w:pPr>
    </w:p>
    <w:p w14:paraId="1FBF431E">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方正仿宋_GBK" w:cs="Times New Roman"/>
          <w:color w:val="auto"/>
          <w:sz w:val="30"/>
          <w:szCs w:val="30"/>
          <w:highlight w:val="none"/>
        </w:rPr>
      </w:pPr>
    </w:p>
    <w:p w14:paraId="3D593D06">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方正仿宋_GBK" w:cs="Times New Roman"/>
          <w:color w:val="auto"/>
          <w:sz w:val="30"/>
          <w:szCs w:val="30"/>
          <w:highlight w:val="none"/>
        </w:rPr>
      </w:pPr>
    </w:p>
    <w:p w14:paraId="0F8BAD2F">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方正仿宋_GBK" w:cs="Times New Roman"/>
          <w:color w:val="auto"/>
          <w:sz w:val="30"/>
          <w:szCs w:val="30"/>
          <w:highlight w:val="none"/>
        </w:rPr>
      </w:pPr>
    </w:p>
    <w:p w14:paraId="015AB7CA">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方正仿宋_GBK" w:cs="Times New Roman"/>
          <w:color w:val="auto"/>
          <w:sz w:val="30"/>
          <w:szCs w:val="30"/>
          <w:highlight w:val="none"/>
        </w:rPr>
      </w:pPr>
    </w:p>
    <w:p w14:paraId="575A372A">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方正仿宋_GBK" w:cs="Times New Roman"/>
          <w:color w:val="auto"/>
          <w:sz w:val="30"/>
          <w:szCs w:val="30"/>
          <w:highlight w:val="none"/>
        </w:rPr>
      </w:pPr>
    </w:p>
    <w:p w14:paraId="2093780F">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方正仿宋_GBK" w:cs="Times New Roman"/>
          <w:color w:val="auto"/>
          <w:sz w:val="30"/>
          <w:szCs w:val="30"/>
          <w:highlight w:val="none"/>
        </w:rPr>
      </w:pPr>
    </w:p>
    <w:p w14:paraId="516082BA">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方正仿宋_GBK" w:cs="Times New Roman"/>
          <w:color w:val="auto"/>
          <w:sz w:val="30"/>
          <w:szCs w:val="30"/>
          <w:highlight w:val="none"/>
        </w:rPr>
      </w:pPr>
    </w:p>
    <w:p w14:paraId="4C9C4532">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方正仿宋_GBK" w:cs="Times New Roman"/>
          <w:color w:val="auto"/>
          <w:sz w:val="30"/>
          <w:szCs w:val="30"/>
          <w:highlight w:val="none"/>
        </w:rPr>
      </w:pPr>
    </w:p>
    <w:p w14:paraId="7F5A2E8F">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方正仿宋_GBK" w:cs="Times New Roman"/>
          <w:color w:val="auto"/>
          <w:sz w:val="30"/>
          <w:szCs w:val="30"/>
          <w:highlight w:val="none"/>
        </w:rPr>
      </w:pPr>
    </w:p>
    <w:p w14:paraId="3E2E6DB8">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方正仿宋_GBK" w:cs="Times New Roman"/>
          <w:color w:val="auto"/>
          <w:sz w:val="30"/>
          <w:szCs w:val="30"/>
          <w:highlight w:val="none"/>
        </w:rPr>
      </w:pPr>
    </w:p>
    <w:p w14:paraId="4C739693">
      <w:pPr>
        <w:pStyle w:val="3"/>
        <w:rPr>
          <w:rFonts w:hint="default" w:ascii="Times New Roman" w:hAnsi="Times New Roman" w:eastAsia="方正仿宋_GBK" w:cs="Times New Roman"/>
          <w:color w:val="auto"/>
          <w:sz w:val="30"/>
          <w:szCs w:val="30"/>
          <w:highlight w:val="none"/>
        </w:rPr>
      </w:pPr>
    </w:p>
    <w:p w14:paraId="113B9A18">
      <w:pPr>
        <w:rPr>
          <w:rFonts w:hint="default" w:ascii="Times New Roman" w:hAnsi="Times New Roman" w:eastAsia="方正仿宋_GBK" w:cs="Times New Roman"/>
          <w:color w:val="auto"/>
          <w:sz w:val="30"/>
          <w:szCs w:val="30"/>
          <w:highlight w:val="none"/>
        </w:rPr>
      </w:pPr>
    </w:p>
    <w:p w14:paraId="31F73E1A">
      <w:pPr>
        <w:pStyle w:val="3"/>
        <w:rPr>
          <w:rFonts w:hint="default" w:ascii="Times New Roman" w:hAnsi="Times New Roman" w:eastAsia="方正仿宋_GBK" w:cs="Times New Roman"/>
          <w:color w:val="auto"/>
          <w:sz w:val="30"/>
          <w:szCs w:val="30"/>
          <w:highlight w:val="none"/>
        </w:rPr>
      </w:pPr>
    </w:p>
    <w:p w14:paraId="320C0C22">
      <w:pPr>
        <w:rPr>
          <w:rFonts w:hint="default" w:ascii="Times New Roman" w:hAnsi="Times New Roman" w:eastAsia="方正仿宋_GBK" w:cs="Times New Roman"/>
          <w:color w:val="auto"/>
          <w:sz w:val="30"/>
          <w:szCs w:val="30"/>
          <w:highlight w:val="none"/>
        </w:rPr>
      </w:pPr>
    </w:p>
    <w:p w14:paraId="54980C48">
      <w:pPr>
        <w:pStyle w:val="3"/>
        <w:rPr>
          <w:rFonts w:hint="default" w:ascii="Times New Roman" w:hAnsi="Times New Roman" w:eastAsia="方正仿宋_GBK" w:cs="Times New Roman"/>
          <w:color w:val="auto"/>
          <w:sz w:val="30"/>
          <w:szCs w:val="30"/>
          <w:highlight w:val="none"/>
        </w:rPr>
      </w:pPr>
    </w:p>
    <w:p w14:paraId="43B79B1F">
      <w:pPr>
        <w:rPr>
          <w:rFonts w:hint="default" w:ascii="Times New Roman" w:hAnsi="Times New Roman" w:eastAsia="方正仿宋_GBK" w:cs="Times New Roman"/>
          <w:color w:val="auto"/>
          <w:sz w:val="30"/>
          <w:szCs w:val="30"/>
          <w:highlight w:val="none"/>
        </w:rPr>
      </w:pPr>
    </w:p>
    <w:p w14:paraId="09732CF6">
      <w:pPr>
        <w:pStyle w:val="3"/>
        <w:rPr>
          <w:rFonts w:hint="default" w:ascii="Times New Roman" w:hAnsi="Times New Roman" w:eastAsia="方正仿宋_GBK" w:cs="Times New Roman"/>
          <w:color w:val="auto"/>
          <w:sz w:val="30"/>
          <w:szCs w:val="30"/>
          <w:highlight w:val="none"/>
        </w:rPr>
      </w:pPr>
    </w:p>
    <w:p w14:paraId="03EBBD0C">
      <w:pPr>
        <w:rPr>
          <w:rFonts w:hint="default"/>
          <w:color w:val="auto"/>
          <w:sz w:val="30"/>
          <w:szCs w:val="30"/>
          <w:highlight w:val="none"/>
        </w:rPr>
      </w:pPr>
    </w:p>
    <w:p w14:paraId="1D57DEF8">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方正仿宋_GBK" w:cs="Times New Roman"/>
          <w:color w:val="auto"/>
          <w:sz w:val="30"/>
          <w:szCs w:val="30"/>
          <w:highlight w:val="none"/>
        </w:rPr>
      </w:pPr>
    </w:p>
    <w:p w14:paraId="4A9E0253">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方正仿宋_GBK" w:cs="Times New Roman"/>
          <w:color w:val="auto"/>
          <w:sz w:val="30"/>
          <w:szCs w:val="30"/>
          <w:highlight w:val="none"/>
        </w:rPr>
      </w:pPr>
    </w:p>
    <w:p w14:paraId="02637873">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方正仿宋_GBK" w:cs="Times New Roman"/>
          <w:color w:val="auto"/>
          <w:sz w:val="30"/>
          <w:szCs w:val="30"/>
          <w:highlight w:val="none"/>
        </w:rPr>
      </w:pPr>
    </w:p>
    <w:p w14:paraId="0013920D">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方正仿宋_GBK" w:cs="Times New Roman"/>
          <w:color w:val="auto"/>
          <w:sz w:val="30"/>
          <w:szCs w:val="30"/>
          <w:highlight w:val="none"/>
        </w:rPr>
      </w:pPr>
    </w:p>
    <w:p w14:paraId="01A8C93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黑体_GBK" w:cs="Times New Roman"/>
          <w:color w:val="auto"/>
          <w:sz w:val="32"/>
          <w:szCs w:val="32"/>
          <w:highlight w:val="none"/>
          <w:lang w:val="en-US" w:eastAsia="zh-CN"/>
        </w:rPr>
      </w:pPr>
      <w:r>
        <w:rPr>
          <w:rFonts w:hint="default" w:ascii="Times New Roman" w:hAnsi="Times New Roman" w:eastAsia="方正黑体_GBK" w:cs="Times New Roman"/>
          <w:color w:val="auto"/>
          <w:sz w:val="32"/>
          <w:szCs w:val="32"/>
          <w:highlight w:val="none"/>
          <w:lang w:val="en-US" w:eastAsia="zh-CN"/>
        </w:rPr>
        <w:t>第三部分  参选文件格式要求</w:t>
      </w:r>
    </w:p>
    <w:p w14:paraId="4F3888D4">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center"/>
        <w:textAlignment w:val="auto"/>
        <w:rPr>
          <w:rFonts w:hint="default" w:ascii="Times New Roman" w:hAnsi="Times New Roman" w:eastAsia="方正黑体_GBK" w:cs="Times New Roman"/>
          <w:color w:val="auto"/>
          <w:sz w:val="32"/>
          <w:szCs w:val="32"/>
          <w:highlight w:val="none"/>
          <w:lang w:val="en-US" w:eastAsia="zh-CN"/>
        </w:rPr>
      </w:pPr>
    </w:p>
    <w:p w14:paraId="798118E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rPr>
        <w:t>1、</w:t>
      </w:r>
      <w:r>
        <w:rPr>
          <w:rFonts w:hint="default" w:ascii="Times New Roman" w:hAnsi="Times New Roman" w:eastAsia="方正仿宋_GBK" w:cs="Times New Roman"/>
          <w:color w:val="auto"/>
          <w:sz w:val="28"/>
          <w:szCs w:val="28"/>
          <w:highlight w:val="none"/>
          <w:lang w:eastAsia="zh-CN"/>
        </w:rPr>
        <w:t>参选</w:t>
      </w:r>
      <w:r>
        <w:rPr>
          <w:rFonts w:hint="default" w:ascii="Times New Roman" w:hAnsi="Times New Roman" w:eastAsia="方正仿宋_GBK" w:cs="Times New Roman"/>
          <w:color w:val="auto"/>
          <w:sz w:val="28"/>
          <w:szCs w:val="28"/>
          <w:highlight w:val="none"/>
        </w:rPr>
        <w:t>函</w:t>
      </w:r>
      <w:r>
        <w:rPr>
          <w:rFonts w:hint="default" w:ascii="Times New Roman" w:hAnsi="Times New Roman" w:eastAsia="方正仿宋_GBK" w:cs="Times New Roman"/>
          <w:color w:val="auto"/>
          <w:sz w:val="28"/>
          <w:szCs w:val="28"/>
          <w:highlight w:val="none"/>
          <w:lang w:eastAsia="zh-CN"/>
        </w:rPr>
        <w:t>及参选</w:t>
      </w:r>
      <w:r>
        <w:rPr>
          <w:rFonts w:hint="default" w:ascii="Times New Roman" w:hAnsi="Times New Roman" w:eastAsia="方正仿宋_GBK" w:cs="Times New Roman"/>
          <w:color w:val="auto"/>
          <w:sz w:val="28"/>
          <w:szCs w:val="28"/>
          <w:highlight w:val="none"/>
        </w:rPr>
        <w:t>函附录</w:t>
      </w:r>
    </w:p>
    <w:p w14:paraId="3628A64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2、法定代表人身份证明</w:t>
      </w:r>
    </w:p>
    <w:p w14:paraId="46D7861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3、法定代表人授权委托书</w:t>
      </w:r>
    </w:p>
    <w:p w14:paraId="2861BF1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4、</w:t>
      </w:r>
      <w:r>
        <w:rPr>
          <w:rFonts w:hint="eastAsia" w:ascii="Times New Roman" w:hAnsi="Times New Roman" w:eastAsia="方正仿宋_GBK" w:cs="Times New Roman"/>
          <w:b w:val="0"/>
          <w:bCs w:val="0"/>
          <w:color w:val="auto"/>
          <w:sz w:val="28"/>
          <w:szCs w:val="28"/>
          <w:highlight w:val="none"/>
          <w:lang w:val="en-US" w:eastAsia="zh-CN"/>
        </w:rPr>
        <w:t>阿依河接待中心舞台频显系统提升工程</w:t>
      </w:r>
      <w:r>
        <w:rPr>
          <w:rFonts w:hint="default" w:ascii="Times New Roman" w:hAnsi="Times New Roman" w:eastAsia="方正仿宋_GBK" w:cs="Times New Roman"/>
          <w:color w:val="auto"/>
          <w:sz w:val="28"/>
          <w:szCs w:val="28"/>
          <w:highlight w:val="none"/>
        </w:rPr>
        <w:t>报价</w:t>
      </w:r>
      <w:r>
        <w:rPr>
          <w:rFonts w:hint="eastAsia" w:ascii="Times New Roman" w:hAnsi="Times New Roman" w:eastAsia="方正仿宋_GBK" w:cs="Times New Roman"/>
          <w:color w:val="auto"/>
          <w:sz w:val="28"/>
          <w:szCs w:val="28"/>
          <w:highlight w:val="none"/>
          <w:lang w:val="en-US" w:eastAsia="zh-CN"/>
        </w:rPr>
        <w:t>清单</w:t>
      </w:r>
    </w:p>
    <w:p w14:paraId="3C48F530">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val="en-US" w:eastAsia="zh-CN"/>
        </w:rPr>
        <w:t>5</w:t>
      </w:r>
      <w:r>
        <w:rPr>
          <w:rFonts w:hint="default" w:ascii="Times New Roman" w:hAnsi="Times New Roman" w:eastAsia="方正仿宋_GBK" w:cs="Times New Roman"/>
          <w:color w:val="auto"/>
          <w:sz w:val="28"/>
          <w:szCs w:val="28"/>
          <w:highlight w:val="none"/>
        </w:rPr>
        <w:t>、营业执照复印件</w:t>
      </w:r>
    </w:p>
    <w:p w14:paraId="6E66467B">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color w:val="auto"/>
          <w:sz w:val="28"/>
          <w:szCs w:val="28"/>
          <w:highlight w:val="none"/>
          <w:lang w:val="en-US" w:eastAsia="zh-CN"/>
        </w:rPr>
        <w:t>6、资质证书</w:t>
      </w:r>
      <w:r>
        <w:rPr>
          <w:rFonts w:hint="default" w:ascii="Times New Roman" w:hAnsi="Times New Roman" w:eastAsia="方正仿宋_GBK" w:cs="Times New Roman"/>
          <w:color w:val="auto"/>
          <w:sz w:val="28"/>
          <w:szCs w:val="28"/>
          <w:highlight w:val="none"/>
        </w:rPr>
        <w:t>复印件</w:t>
      </w:r>
    </w:p>
    <w:p w14:paraId="107AE47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7、安全生产许可证复印件</w:t>
      </w:r>
    </w:p>
    <w:p w14:paraId="68DCD12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color w:val="auto"/>
          <w:sz w:val="28"/>
          <w:szCs w:val="28"/>
          <w:highlight w:val="none"/>
          <w:lang w:val="en-US" w:eastAsia="zh-CN"/>
        </w:rPr>
        <w:t>8</w:t>
      </w:r>
      <w:r>
        <w:rPr>
          <w:rFonts w:hint="default" w:ascii="Times New Roman" w:hAnsi="Times New Roman" w:eastAsia="方正仿宋_GBK" w:cs="Times New Roman"/>
          <w:color w:val="auto"/>
          <w:sz w:val="28"/>
          <w:szCs w:val="28"/>
          <w:highlight w:val="none"/>
          <w:lang w:val="en-US" w:eastAsia="zh-CN"/>
        </w:rPr>
        <w:t>、</w:t>
      </w:r>
      <w:r>
        <w:rPr>
          <w:rFonts w:hint="default" w:ascii="Times New Roman" w:hAnsi="Times New Roman" w:eastAsia="方正仿宋_GBK" w:cs="Times New Roman"/>
          <w:color w:val="auto"/>
          <w:sz w:val="28"/>
          <w:szCs w:val="28"/>
          <w:highlight w:val="none"/>
        </w:rPr>
        <w:t>诚信声明</w:t>
      </w:r>
    </w:p>
    <w:p w14:paraId="154032D8">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9.参选技术方案</w:t>
      </w:r>
    </w:p>
    <w:p w14:paraId="66AE8B70">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5462E9A4">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 xml:space="preserve">        注：以上文件需加盖法人鲜章</w:t>
      </w:r>
    </w:p>
    <w:p w14:paraId="0C048EDC">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30"/>
          <w:szCs w:val="30"/>
          <w:highlight w:val="none"/>
        </w:rPr>
      </w:pPr>
    </w:p>
    <w:p w14:paraId="3A767917">
      <w:pPr>
        <w:pStyle w:val="2"/>
        <w:rPr>
          <w:rFonts w:hint="default" w:ascii="Times New Roman" w:hAnsi="Times New Roman" w:eastAsia="方正仿宋_GBK" w:cs="Times New Roman"/>
          <w:color w:val="auto"/>
          <w:sz w:val="30"/>
          <w:szCs w:val="30"/>
          <w:highlight w:val="none"/>
        </w:rPr>
      </w:pPr>
    </w:p>
    <w:p w14:paraId="7B12F03A">
      <w:pPr>
        <w:pStyle w:val="2"/>
        <w:jc w:val="both"/>
        <w:rPr>
          <w:rFonts w:hint="default" w:ascii="Times New Roman" w:hAnsi="Times New Roman" w:cs="Times New Roman"/>
          <w:color w:val="auto"/>
          <w:sz w:val="30"/>
          <w:szCs w:val="30"/>
          <w:highlight w:val="none"/>
        </w:rPr>
      </w:pPr>
    </w:p>
    <w:p w14:paraId="41C12817">
      <w:pPr>
        <w:rPr>
          <w:rFonts w:hint="default" w:ascii="Times New Roman" w:hAnsi="Times New Roman" w:cs="Times New Roman"/>
          <w:color w:val="auto"/>
          <w:sz w:val="30"/>
          <w:szCs w:val="30"/>
          <w:highlight w:val="none"/>
        </w:rPr>
      </w:pPr>
    </w:p>
    <w:p w14:paraId="4B104450">
      <w:pPr>
        <w:rPr>
          <w:rFonts w:hint="default" w:ascii="Times New Roman" w:hAnsi="Times New Roman" w:cs="Times New Roman"/>
          <w:color w:val="auto"/>
          <w:sz w:val="30"/>
          <w:szCs w:val="30"/>
          <w:highlight w:val="none"/>
        </w:rPr>
      </w:pPr>
    </w:p>
    <w:p w14:paraId="7B245448">
      <w:pPr>
        <w:rPr>
          <w:rFonts w:hint="default" w:ascii="Times New Roman" w:hAnsi="Times New Roman" w:cs="Times New Roman"/>
          <w:color w:val="auto"/>
          <w:sz w:val="30"/>
          <w:szCs w:val="30"/>
          <w:highlight w:val="none"/>
        </w:rPr>
      </w:pPr>
    </w:p>
    <w:p w14:paraId="7B02E777">
      <w:pPr>
        <w:rPr>
          <w:rFonts w:hint="default" w:ascii="Times New Roman" w:hAnsi="Times New Roman" w:cs="Times New Roman"/>
          <w:color w:val="auto"/>
          <w:sz w:val="30"/>
          <w:szCs w:val="30"/>
          <w:highlight w:val="none"/>
        </w:rPr>
      </w:pPr>
    </w:p>
    <w:p w14:paraId="4C6A03E7">
      <w:pPr>
        <w:rPr>
          <w:rFonts w:hint="default" w:ascii="Times New Roman" w:hAnsi="Times New Roman" w:cs="Times New Roman"/>
          <w:color w:val="auto"/>
          <w:sz w:val="30"/>
          <w:szCs w:val="30"/>
          <w:highlight w:val="none"/>
        </w:rPr>
      </w:pPr>
    </w:p>
    <w:p w14:paraId="38B0ED44">
      <w:pPr>
        <w:rPr>
          <w:rFonts w:hint="default" w:ascii="Times New Roman" w:hAnsi="Times New Roman" w:cs="Times New Roman"/>
          <w:color w:val="auto"/>
          <w:sz w:val="30"/>
          <w:szCs w:val="30"/>
          <w:highlight w:val="none"/>
        </w:rPr>
      </w:pPr>
    </w:p>
    <w:p w14:paraId="795E603A">
      <w:pPr>
        <w:rPr>
          <w:rFonts w:hint="default" w:ascii="Times New Roman" w:hAnsi="Times New Roman" w:cs="Times New Roman"/>
          <w:color w:val="auto"/>
          <w:sz w:val="30"/>
          <w:szCs w:val="30"/>
          <w:highlight w:val="none"/>
        </w:rPr>
      </w:pPr>
    </w:p>
    <w:p w14:paraId="1122FBC0">
      <w:pPr>
        <w:rPr>
          <w:rFonts w:hint="default" w:ascii="Times New Roman" w:hAnsi="Times New Roman" w:cs="Times New Roman"/>
          <w:color w:val="auto"/>
          <w:sz w:val="30"/>
          <w:szCs w:val="30"/>
          <w:highlight w:val="none"/>
        </w:rPr>
      </w:pPr>
    </w:p>
    <w:p w14:paraId="072216F1">
      <w:pPr>
        <w:rPr>
          <w:rFonts w:hint="default" w:ascii="Times New Roman" w:hAnsi="Times New Roman" w:cs="Times New Roman"/>
          <w:color w:val="auto"/>
          <w:sz w:val="30"/>
          <w:szCs w:val="30"/>
          <w:highlight w:val="none"/>
        </w:rPr>
      </w:pPr>
    </w:p>
    <w:p w14:paraId="0D416EA3">
      <w:pPr>
        <w:rPr>
          <w:rFonts w:hint="default" w:ascii="Times New Roman" w:hAnsi="Times New Roman" w:cs="Times New Roman"/>
          <w:color w:val="auto"/>
          <w:sz w:val="30"/>
          <w:szCs w:val="30"/>
          <w:highlight w:val="none"/>
        </w:rPr>
      </w:pPr>
    </w:p>
    <w:p w14:paraId="232637EC">
      <w:pPr>
        <w:rPr>
          <w:rFonts w:hint="default" w:ascii="Times New Roman" w:hAnsi="Times New Roman" w:cs="Times New Roman"/>
          <w:color w:val="auto"/>
          <w:sz w:val="30"/>
          <w:szCs w:val="30"/>
          <w:highlight w:val="none"/>
        </w:rPr>
      </w:pPr>
    </w:p>
    <w:p w14:paraId="1E13B654">
      <w:pPr>
        <w:rPr>
          <w:rFonts w:hint="default" w:ascii="Times New Roman" w:hAnsi="Times New Roman" w:cs="Times New Roman"/>
          <w:color w:val="auto"/>
          <w:sz w:val="30"/>
          <w:szCs w:val="30"/>
          <w:highlight w:val="none"/>
        </w:rPr>
      </w:pPr>
    </w:p>
    <w:p w14:paraId="211028AA">
      <w:pPr>
        <w:rPr>
          <w:rFonts w:hint="default" w:ascii="Times New Roman" w:hAnsi="Times New Roman" w:cs="Times New Roman"/>
          <w:color w:val="auto"/>
          <w:sz w:val="30"/>
          <w:szCs w:val="30"/>
          <w:highlight w:val="none"/>
        </w:rPr>
      </w:pPr>
    </w:p>
    <w:p w14:paraId="5893A625">
      <w:pPr>
        <w:rPr>
          <w:rFonts w:hint="default" w:ascii="Times New Roman" w:hAnsi="Times New Roman" w:cs="Times New Roman"/>
          <w:color w:val="auto"/>
          <w:sz w:val="30"/>
          <w:szCs w:val="30"/>
          <w:highlight w:val="none"/>
        </w:rPr>
      </w:pPr>
    </w:p>
    <w:p w14:paraId="5A13381C">
      <w:pPr>
        <w:rPr>
          <w:rFonts w:hint="default" w:ascii="Times New Roman" w:hAnsi="Times New Roman" w:cs="Times New Roman"/>
          <w:color w:val="auto"/>
          <w:sz w:val="30"/>
          <w:szCs w:val="30"/>
          <w:highlight w:val="none"/>
        </w:rPr>
      </w:pPr>
    </w:p>
    <w:p w14:paraId="1509172A">
      <w:pPr>
        <w:pStyle w:val="3"/>
        <w:rPr>
          <w:rFonts w:hint="default" w:ascii="Times New Roman" w:hAnsi="Times New Roman" w:cs="Times New Roman"/>
          <w:color w:val="auto"/>
          <w:sz w:val="30"/>
          <w:szCs w:val="30"/>
          <w:highlight w:val="none"/>
        </w:rPr>
      </w:pPr>
    </w:p>
    <w:p w14:paraId="19D1A2CA">
      <w:pPr>
        <w:rPr>
          <w:rFonts w:hint="default"/>
          <w:color w:val="auto"/>
          <w:highlight w:val="none"/>
        </w:rPr>
      </w:pPr>
    </w:p>
    <w:p w14:paraId="6516510E">
      <w:pPr>
        <w:rPr>
          <w:rFonts w:hint="default" w:ascii="Times New Roman" w:hAnsi="Times New Roman" w:cs="Times New Roman"/>
          <w:color w:val="auto"/>
          <w:sz w:val="30"/>
          <w:szCs w:val="30"/>
          <w:highlight w:val="none"/>
        </w:rPr>
      </w:pPr>
    </w:p>
    <w:p w14:paraId="7C0E60F5">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center"/>
        <w:textAlignment w:val="auto"/>
        <w:rPr>
          <w:rFonts w:hint="default" w:ascii="Times New Roman" w:hAnsi="Times New Roman" w:eastAsia="方正黑体_GBK" w:cs="Times New Roman"/>
          <w:color w:val="auto"/>
          <w:sz w:val="32"/>
          <w:szCs w:val="32"/>
          <w:highlight w:val="none"/>
          <w:lang w:val="en-US" w:eastAsia="zh-CN"/>
        </w:rPr>
      </w:pPr>
      <w:r>
        <w:rPr>
          <w:rFonts w:hint="eastAsia" w:ascii="Times New Roman" w:hAnsi="Times New Roman" w:eastAsia="方正黑体_GBK" w:cs="Times New Roman"/>
          <w:color w:val="auto"/>
          <w:sz w:val="32"/>
          <w:szCs w:val="32"/>
          <w:highlight w:val="none"/>
          <w:lang w:val="en-US" w:eastAsia="zh-CN"/>
        </w:rPr>
        <w:t>参  选</w:t>
      </w:r>
      <w:r>
        <w:rPr>
          <w:rFonts w:hint="default" w:ascii="Times New Roman" w:hAnsi="Times New Roman" w:eastAsia="方正黑体_GBK" w:cs="Times New Roman"/>
          <w:color w:val="auto"/>
          <w:sz w:val="32"/>
          <w:szCs w:val="32"/>
          <w:highlight w:val="none"/>
          <w:lang w:val="en-US" w:eastAsia="zh-CN"/>
        </w:rPr>
        <w:t xml:space="preserve">  函</w:t>
      </w:r>
    </w:p>
    <w:p w14:paraId="67DB5D65">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3F65A4D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重庆乌江画廊旅游开发有限公司</w:t>
      </w:r>
      <w:r>
        <w:rPr>
          <w:rFonts w:hint="eastAsia" w:asciiTheme="minorEastAsia" w:hAnsiTheme="minorEastAsia" w:eastAsiaTheme="minorEastAsia" w:cstheme="minorEastAsia"/>
          <w:color w:val="auto"/>
          <w:sz w:val="28"/>
          <w:szCs w:val="28"/>
          <w:highlight w:val="none"/>
          <w:lang w:val="en-US" w:eastAsia="zh-CN"/>
        </w:rPr>
        <w:t>阿依河分公司</w:t>
      </w:r>
      <w:r>
        <w:rPr>
          <w:rFonts w:hint="eastAsia" w:asciiTheme="minorEastAsia" w:hAnsiTheme="minorEastAsia" w:eastAsiaTheme="minorEastAsia" w:cstheme="minorEastAsia"/>
          <w:color w:val="auto"/>
          <w:sz w:val="28"/>
          <w:szCs w:val="28"/>
          <w:highlight w:val="none"/>
        </w:rPr>
        <w:t>：</w:t>
      </w:r>
    </w:p>
    <w:p w14:paraId="1B769330">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lang w:eastAsia="zh-CN"/>
        </w:rPr>
      </w:pPr>
      <w:r>
        <w:rPr>
          <w:rFonts w:hint="eastAsia" w:asciiTheme="minorEastAsia" w:hAnsiTheme="minorEastAsia" w:eastAsiaTheme="minorEastAsia" w:cstheme="minorEastAsia"/>
          <w:color w:val="auto"/>
          <w:sz w:val="28"/>
          <w:szCs w:val="28"/>
          <w:highlight w:val="none"/>
          <w:lang w:val="en-US" w:eastAsia="zh-CN"/>
        </w:rPr>
        <w:t>1.</w:t>
      </w:r>
      <w:r>
        <w:rPr>
          <w:rFonts w:hint="eastAsia" w:asciiTheme="minorEastAsia" w:hAnsiTheme="minorEastAsia" w:eastAsiaTheme="minorEastAsia" w:cstheme="minorEastAsia"/>
          <w:color w:val="auto"/>
          <w:sz w:val="28"/>
          <w:szCs w:val="28"/>
          <w:highlight w:val="none"/>
        </w:rPr>
        <w:t>我方已仔细研究了</w:t>
      </w:r>
      <w:r>
        <w:rPr>
          <w:rFonts w:hint="eastAsia" w:asciiTheme="minorEastAsia" w:hAnsiTheme="minorEastAsia" w:eastAsiaTheme="minorEastAsia" w:cstheme="minorEastAsia"/>
          <w:color w:val="auto"/>
          <w:sz w:val="28"/>
          <w:szCs w:val="28"/>
          <w:highlight w:val="none"/>
          <w:u w:val="single"/>
          <w:lang w:val="en-US" w:eastAsia="zh-CN"/>
        </w:rPr>
        <w:t xml:space="preserve">            </w:t>
      </w:r>
      <w:r>
        <w:rPr>
          <w:rFonts w:hint="eastAsia" w:asciiTheme="minorEastAsia" w:hAnsiTheme="minorEastAsia" w:eastAsiaTheme="minorEastAsia" w:cstheme="minorEastAsia"/>
          <w:color w:val="auto"/>
          <w:sz w:val="28"/>
          <w:szCs w:val="28"/>
          <w:highlight w:val="none"/>
        </w:rPr>
        <w:t>（项目名称）</w:t>
      </w:r>
      <w:r>
        <w:rPr>
          <w:rFonts w:hint="eastAsia" w:asciiTheme="minorEastAsia" w:hAnsiTheme="minorEastAsia" w:eastAsiaTheme="minorEastAsia" w:cstheme="minorEastAsia"/>
          <w:color w:val="auto"/>
          <w:sz w:val="28"/>
          <w:szCs w:val="28"/>
          <w:highlight w:val="none"/>
          <w:lang w:val="en-US" w:eastAsia="zh-CN"/>
        </w:rPr>
        <w:t>比选</w:t>
      </w:r>
      <w:r>
        <w:rPr>
          <w:rFonts w:hint="eastAsia" w:asciiTheme="minorEastAsia" w:hAnsiTheme="minorEastAsia" w:eastAsiaTheme="minorEastAsia" w:cstheme="minorEastAsia"/>
          <w:color w:val="auto"/>
          <w:sz w:val="28"/>
          <w:szCs w:val="28"/>
          <w:highlight w:val="none"/>
          <w:lang w:eastAsia="zh-CN"/>
        </w:rPr>
        <w:t>文件</w:t>
      </w:r>
      <w:r>
        <w:rPr>
          <w:rFonts w:hint="eastAsia" w:asciiTheme="minorEastAsia" w:hAnsiTheme="minorEastAsia" w:eastAsiaTheme="minorEastAsia" w:cstheme="minorEastAsia"/>
          <w:color w:val="auto"/>
          <w:sz w:val="28"/>
          <w:szCs w:val="28"/>
          <w:highlight w:val="none"/>
        </w:rPr>
        <w:t>的全部内容，我方承诺完成</w:t>
      </w:r>
      <w:r>
        <w:rPr>
          <w:rFonts w:hint="eastAsia" w:asciiTheme="minorEastAsia" w:hAnsiTheme="minorEastAsia" w:eastAsiaTheme="minorEastAsia" w:cstheme="minorEastAsia"/>
          <w:color w:val="auto"/>
          <w:sz w:val="28"/>
          <w:szCs w:val="28"/>
          <w:highlight w:val="none"/>
          <w:lang w:val="en-US" w:eastAsia="zh-CN"/>
        </w:rPr>
        <w:t>比选</w:t>
      </w:r>
      <w:r>
        <w:rPr>
          <w:rFonts w:hint="eastAsia" w:asciiTheme="minorEastAsia" w:hAnsiTheme="minorEastAsia" w:eastAsiaTheme="minorEastAsia" w:cstheme="minorEastAsia"/>
          <w:color w:val="auto"/>
          <w:sz w:val="28"/>
          <w:szCs w:val="28"/>
          <w:highlight w:val="none"/>
          <w:lang w:eastAsia="zh-CN"/>
        </w:rPr>
        <w:t>文件</w:t>
      </w:r>
      <w:r>
        <w:rPr>
          <w:rFonts w:hint="eastAsia" w:asciiTheme="minorEastAsia" w:hAnsiTheme="minorEastAsia" w:eastAsiaTheme="minorEastAsia" w:cstheme="minorEastAsia"/>
          <w:color w:val="auto"/>
          <w:sz w:val="28"/>
          <w:szCs w:val="28"/>
          <w:highlight w:val="none"/>
        </w:rPr>
        <w:t>要求所有工作内容，总报价</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cstheme="minorEastAsia"/>
          <w:color w:val="auto"/>
          <w:sz w:val="28"/>
          <w:szCs w:val="28"/>
          <w:highlight w:val="none"/>
          <w:u w:val="single"/>
          <w:lang w:val="en-US" w:eastAsia="zh-CN"/>
        </w:rPr>
        <w:t xml:space="preserve">   </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元</w:t>
      </w:r>
      <w:r>
        <w:rPr>
          <w:rFonts w:hint="eastAsia" w:asciiTheme="minorEastAsia" w:hAnsiTheme="minorEastAsia" w:eastAsiaTheme="minorEastAsia" w:cstheme="minorEastAsia"/>
          <w:color w:val="auto"/>
          <w:sz w:val="28"/>
          <w:szCs w:val="28"/>
          <w:highlight w:val="none"/>
          <w:u w:val="single"/>
        </w:rPr>
        <w:t xml:space="preserve">（大写： </w:t>
      </w:r>
      <w:r>
        <w:rPr>
          <w:rFonts w:hint="eastAsia" w:asciiTheme="minorEastAsia" w:hAnsiTheme="minorEastAsia" w:cstheme="minorEastAsia"/>
          <w:color w:val="auto"/>
          <w:sz w:val="28"/>
          <w:szCs w:val="28"/>
          <w:highlight w:val="none"/>
          <w:u w:val="single"/>
          <w:lang w:val="en-US" w:eastAsia="zh-CN"/>
        </w:rPr>
        <w:t xml:space="preserve"> </w:t>
      </w:r>
      <w:r>
        <w:rPr>
          <w:rFonts w:hint="eastAsia" w:asciiTheme="minorEastAsia" w:hAnsiTheme="minorEastAsia" w:eastAsiaTheme="minorEastAsia" w:cstheme="minorEastAsia"/>
          <w:color w:val="auto"/>
          <w:sz w:val="28"/>
          <w:szCs w:val="28"/>
          <w:highlight w:val="none"/>
          <w:u w:val="single"/>
        </w:rPr>
        <w:t xml:space="preserve">    ）</w:t>
      </w:r>
      <w:r>
        <w:rPr>
          <w:rFonts w:hint="eastAsia" w:asciiTheme="minorEastAsia" w:hAnsiTheme="minorEastAsia" w:eastAsiaTheme="minorEastAsia" w:cstheme="minorEastAsia"/>
          <w:color w:val="auto"/>
          <w:sz w:val="28"/>
          <w:szCs w:val="28"/>
          <w:highlight w:val="none"/>
        </w:rPr>
        <w:t>。</w:t>
      </w:r>
      <w:r>
        <w:rPr>
          <w:rFonts w:hint="eastAsia" w:asciiTheme="minorEastAsia" w:hAnsiTheme="minorEastAsia" w:eastAsiaTheme="minorEastAsia" w:cstheme="minorEastAsia"/>
          <w:snapToGrid w:val="0"/>
          <w:color w:val="auto"/>
          <w:kern w:val="0"/>
          <w:sz w:val="28"/>
          <w:szCs w:val="28"/>
          <w:highlight w:val="none"/>
        </w:rPr>
        <w:t>工期</w:t>
      </w:r>
      <w:r>
        <w:rPr>
          <w:rFonts w:hint="eastAsia" w:asciiTheme="minorEastAsia" w:hAnsiTheme="minorEastAsia" w:eastAsiaTheme="minorEastAsia" w:cstheme="minorEastAsia"/>
          <w:snapToGrid w:val="0"/>
          <w:color w:val="auto"/>
          <w:kern w:val="0"/>
          <w:sz w:val="28"/>
          <w:szCs w:val="28"/>
          <w:highlight w:val="none"/>
          <w:u w:val="single"/>
        </w:rPr>
        <w:tab/>
      </w:r>
      <w:r>
        <w:rPr>
          <w:rFonts w:hint="eastAsia" w:asciiTheme="minorEastAsia" w:hAnsiTheme="minorEastAsia" w:cstheme="minorEastAsia"/>
          <w:snapToGrid w:val="0"/>
          <w:color w:val="auto"/>
          <w:kern w:val="0"/>
          <w:sz w:val="28"/>
          <w:szCs w:val="28"/>
          <w:highlight w:val="none"/>
          <w:u w:val="single"/>
          <w:lang w:val="en-US" w:eastAsia="zh-CN"/>
        </w:rPr>
        <w:t xml:space="preserve">  </w:t>
      </w:r>
      <w:r>
        <w:rPr>
          <w:rFonts w:hint="eastAsia" w:asciiTheme="minorEastAsia" w:hAnsiTheme="minorEastAsia" w:eastAsiaTheme="minorEastAsia" w:cstheme="minorEastAsia"/>
          <w:snapToGrid w:val="0"/>
          <w:color w:val="auto"/>
          <w:kern w:val="0"/>
          <w:sz w:val="28"/>
          <w:szCs w:val="28"/>
          <w:highlight w:val="none"/>
        </w:rPr>
        <w:t>日历天，按合同约定实施和完成承包工程，修补工程中的任何缺陷，工程质量达到</w:t>
      </w:r>
      <w:r>
        <w:rPr>
          <w:rFonts w:hint="eastAsia" w:asciiTheme="minorEastAsia" w:hAnsiTheme="minorEastAsia" w:eastAsiaTheme="minorEastAsia" w:cstheme="minorEastAsia"/>
          <w:snapToGrid w:val="0"/>
          <w:color w:val="auto"/>
          <w:kern w:val="0"/>
          <w:sz w:val="28"/>
          <w:szCs w:val="28"/>
          <w:highlight w:val="none"/>
          <w:u w:val="single"/>
        </w:rPr>
        <w:tab/>
      </w:r>
      <w:r>
        <w:rPr>
          <w:rFonts w:hint="eastAsia" w:asciiTheme="minorEastAsia" w:hAnsiTheme="minorEastAsia" w:eastAsiaTheme="minorEastAsia" w:cstheme="minorEastAsia"/>
          <w:snapToGrid w:val="0"/>
          <w:color w:val="auto"/>
          <w:kern w:val="0"/>
          <w:sz w:val="28"/>
          <w:szCs w:val="28"/>
          <w:highlight w:val="none"/>
        </w:rPr>
        <w:t xml:space="preserve"> 。</w:t>
      </w:r>
    </w:p>
    <w:p w14:paraId="090DFF3A">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2</w:t>
      </w:r>
      <w:r>
        <w:rPr>
          <w:rFonts w:hint="eastAsia" w:asciiTheme="minorEastAsia" w:hAnsiTheme="minorEastAsia" w:eastAsiaTheme="minorEastAsia" w:cstheme="minorEastAsia"/>
          <w:color w:val="auto"/>
          <w:sz w:val="28"/>
          <w:szCs w:val="28"/>
          <w:highlight w:val="none"/>
          <w:lang w:val="en-US" w:eastAsia="zh-CN"/>
        </w:rPr>
        <w:t>.</w:t>
      </w:r>
      <w:r>
        <w:rPr>
          <w:rFonts w:hint="eastAsia" w:asciiTheme="minorEastAsia" w:hAnsiTheme="minorEastAsia" w:eastAsiaTheme="minorEastAsia" w:cstheme="minorEastAsia"/>
          <w:color w:val="auto"/>
          <w:sz w:val="28"/>
          <w:szCs w:val="28"/>
          <w:highlight w:val="none"/>
        </w:rPr>
        <w:t>我方承诺在投标有效期内不修改、撤销</w:t>
      </w:r>
      <w:r>
        <w:rPr>
          <w:rFonts w:hint="eastAsia" w:asciiTheme="minorEastAsia" w:hAnsiTheme="minorEastAsia" w:cstheme="minorEastAsia"/>
          <w:color w:val="auto"/>
          <w:sz w:val="28"/>
          <w:szCs w:val="28"/>
          <w:highlight w:val="none"/>
          <w:lang w:val="en-US" w:eastAsia="zh-CN"/>
        </w:rPr>
        <w:t>参</w:t>
      </w:r>
      <w:r>
        <w:rPr>
          <w:rFonts w:hint="eastAsia" w:asciiTheme="minorEastAsia" w:hAnsiTheme="minorEastAsia" w:eastAsiaTheme="minorEastAsia" w:cstheme="minorEastAsia"/>
          <w:color w:val="auto"/>
          <w:sz w:val="28"/>
          <w:szCs w:val="28"/>
          <w:highlight w:val="none"/>
        </w:rPr>
        <w:t>选文件。</w:t>
      </w:r>
    </w:p>
    <w:p w14:paraId="528B9BB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3</w:t>
      </w:r>
      <w:r>
        <w:rPr>
          <w:rFonts w:hint="eastAsia" w:asciiTheme="minorEastAsia" w:hAnsiTheme="minorEastAsia" w:eastAsiaTheme="minorEastAsia" w:cstheme="minorEastAsia"/>
          <w:color w:val="auto"/>
          <w:sz w:val="28"/>
          <w:szCs w:val="28"/>
          <w:highlight w:val="none"/>
          <w:lang w:val="en-US" w:eastAsia="zh-CN"/>
        </w:rPr>
        <w:t>.</w:t>
      </w:r>
      <w:r>
        <w:rPr>
          <w:rFonts w:hint="eastAsia" w:asciiTheme="minorEastAsia" w:hAnsiTheme="minorEastAsia" w:eastAsiaTheme="minorEastAsia" w:cstheme="minorEastAsia"/>
          <w:color w:val="auto"/>
          <w:sz w:val="28"/>
          <w:szCs w:val="28"/>
          <w:highlight w:val="none"/>
        </w:rPr>
        <w:t>如我方中标：</w:t>
      </w:r>
    </w:p>
    <w:p w14:paraId="1EF45B9B">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（1）我方承诺在收到中标通知书后，在中标通知书规定的期限内与你方签订合同。</w:t>
      </w:r>
    </w:p>
    <w:p w14:paraId="08347BB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（2）随同本</w:t>
      </w:r>
      <w:r>
        <w:rPr>
          <w:rFonts w:hint="eastAsia" w:asciiTheme="minorEastAsia" w:hAnsiTheme="minorEastAsia" w:eastAsiaTheme="minorEastAsia" w:cstheme="minorEastAsia"/>
          <w:color w:val="auto"/>
          <w:sz w:val="28"/>
          <w:szCs w:val="28"/>
          <w:highlight w:val="none"/>
          <w:lang w:val="en-US" w:eastAsia="zh-CN"/>
        </w:rPr>
        <w:t>参选</w:t>
      </w:r>
      <w:r>
        <w:rPr>
          <w:rFonts w:hint="eastAsia" w:asciiTheme="minorEastAsia" w:hAnsiTheme="minorEastAsia" w:eastAsiaTheme="minorEastAsia" w:cstheme="minorEastAsia"/>
          <w:color w:val="auto"/>
          <w:sz w:val="28"/>
          <w:szCs w:val="28"/>
          <w:highlight w:val="none"/>
        </w:rPr>
        <w:t>函递交的</w:t>
      </w:r>
      <w:r>
        <w:rPr>
          <w:rFonts w:hint="eastAsia" w:asciiTheme="minorEastAsia" w:hAnsiTheme="minorEastAsia" w:eastAsiaTheme="minorEastAsia" w:cstheme="minorEastAsia"/>
          <w:color w:val="auto"/>
          <w:sz w:val="28"/>
          <w:szCs w:val="28"/>
          <w:highlight w:val="none"/>
          <w:lang w:val="en-US" w:eastAsia="zh-CN"/>
        </w:rPr>
        <w:t>参选</w:t>
      </w:r>
      <w:r>
        <w:rPr>
          <w:rFonts w:hint="eastAsia" w:asciiTheme="minorEastAsia" w:hAnsiTheme="minorEastAsia" w:eastAsiaTheme="minorEastAsia" w:cstheme="minorEastAsia"/>
          <w:color w:val="auto"/>
          <w:sz w:val="28"/>
          <w:szCs w:val="28"/>
          <w:highlight w:val="none"/>
        </w:rPr>
        <w:t>函附录属于合同文件的组成部分。</w:t>
      </w:r>
    </w:p>
    <w:p w14:paraId="6497D6D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（3）我方承诺在合同约定的期限内完成并移交全部合同</w:t>
      </w:r>
      <w:r>
        <w:rPr>
          <w:rFonts w:hint="eastAsia" w:asciiTheme="minorEastAsia" w:hAnsiTheme="minorEastAsia" w:eastAsiaTheme="minorEastAsia" w:cstheme="minorEastAsia"/>
          <w:color w:val="auto"/>
          <w:sz w:val="28"/>
          <w:szCs w:val="28"/>
          <w:highlight w:val="none"/>
          <w:lang w:eastAsia="zh-CN"/>
        </w:rPr>
        <w:t>内容</w:t>
      </w:r>
      <w:r>
        <w:rPr>
          <w:rFonts w:hint="eastAsia" w:asciiTheme="minorEastAsia" w:hAnsiTheme="minorEastAsia" w:eastAsiaTheme="minorEastAsia" w:cstheme="minorEastAsia"/>
          <w:color w:val="auto"/>
          <w:sz w:val="28"/>
          <w:szCs w:val="28"/>
          <w:highlight w:val="none"/>
        </w:rPr>
        <w:t>。</w:t>
      </w:r>
    </w:p>
    <w:p w14:paraId="3EF18A9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4</w:t>
      </w:r>
      <w:r>
        <w:rPr>
          <w:rFonts w:hint="eastAsia" w:asciiTheme="minorEastAsia" w:hAnsiTheme="minorEastAsia" w:eastAsiaTheme="minorEastAsia" w:cstheme="minorEastAsia"/>
          <w:color w:val="auto"/>
          <w:sz w:val="28"/>
          <w:szCs w:val="28"/>
          <w:highlight w:val="none"/>
          <w:lang w:val="en-US" w:eastAsia="zh-CN"/>
        </w:rPr>
        <w:t>.</w:t>
      </w:r>
      <w:r>
        <w:rPr>
          <w:rFonts w:hint="eastAsia" w:asciiTheme="minorEastAsia" w:hAnsiTheme="minorEastAsia" w:eastAsiaTheme="minorEastAsia" w:cstheme="minorEastAsia"/>
          <w:color w:val="auto"/>
          <w:sz w:val="28"/>
          <w:szCs w:val="28"/>
          <w:highlight w:val="none"/>
        </w:rPr>
        <w:t>我方在此声明，所递交的投标文件及有关资料内容完整、真实和准确。</w:t>
      </w:r>
      <w:r>
        <w:rPr>
          <w:rFonts w:hint="eastAsia" w:asciiTheme="minorEastAsia" w:hAnsiTheme="minorEastAsia" w:eastAsiaTheme="minorEastAsia" w:cstheme="minorEastAsia"/>
          <w:color w:val="auto"/>
          <w:sz w:val="28"/>
          <w:szCs w:val="28"/>
          <w:highlight w:val="none"/>
          <w:lang w:val="en-US" w:eastAsia="zh-CN"/>
        </w:rPr>
        <w:t>一旦比选人查实我方有弄虚作假行为，可取消我方参选资格。若给比选人造成损失的，我方依法进行赔偿。</w:t>
      </w:r>
    </w:p>
    <w:p w14:paraId="5F5C2343">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heme="minorEastAsia" w:hAnsiTheme="minorEastAsia" w:eastAsiaTheme="minorEastAsia" w:cstheme="minorEastAsia"/>
          <w:color w:val="auto"/>
          <w:sz w:val="28"/>
          <w:szCs w:val="28"/>
          <w:highlight w:val="none"/>
        </w:rPr>
      </w:pPr>
    </w:p>
    <w:p w14:paraId="1CA5566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单位公章：</w:t>
      </w:r>
    </w:p>
    <w:p w14:paraId="6E68C2A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法定代表人或委托代理人</w:t>
      </w:r>
      <w:r>
        <w:rPr>
          <w:rFonts w:hint="eastAsia" w:asciiTheme="minorEastAsia" w:hAnsiTheme="minorEastAsia" w:eastAsiaTheme="minorEastAsia" w:cstheme="minorEastAsia"/>
          <w:color w:val="auto"/>
          <w:sz w:val="28"/>
          <w:szCs w:val="28"/>
          <w:highlight w:val="none"/>
          <w:lang w:eastAsia="zh-CN"/>
        </w:rPr>
        <w:t>（签字）</w:t>
      </w:r>
      <w:r>
        <w:rPr>
          <w:rFonts w:hint="eastAsia" w:asciiTheme="minorEastAsia" w:hAnsiTheme="minorEastAsia" w:eastAsiaTheme="minorEastAsia" w:cstheme="minorEastAsia"/>
          <w:color w:val="auto"/>
          <w:sz w:val="28"/>
          <w:szCs w:val="28"/>
          <w:highlight w:val="none"/>
        </w:rPr>
        <w:t>：</w:t>
      </w:r>
    </w:p>
    <w:p w14:paraId="3E9133D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法定代表人联系方式（手机）：</w:t>
      </w:r>
    </w:p>
    <w:p w14:paraId="2B1A44D4">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委托代理人联系方式（手机）：</w:t>
      </w:r>
    </w:p>
    <w:p w14:paraId="0BF56C9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单位开户行（全称）：</w:t>
      </w:r>
    </w:p>
    <w:p w14:paraId="2219EC69">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基本户账号：</w:t>
      </w:r>
    </w:p>
    <w:p w14:paraId="30970FF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color w:val="auto"/>
          <w:sz w:val="28"/>
          <w:szCs w:val="28"/>
          <w:highlight w:val="none"/>
        </w:rPr>
        <w:t>日    期：</w:t>
      </w:r>
    </w:p>
    <w:p w14:paraId="6526A25B">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p>
    <w:p w14:paraId="405D1B9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p>
    <w:p w14:paraId="0418FE4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p>
    <w:p w14:paraId="69182F9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p>
    <w:p w14:paraId="47308D8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仿宋_GBK" w:cs="Times New Roman"/>
          <w:color w:val="auto"/>
          <w:sz w:val="28"/>
          <w:szCs w:val="28"/>
          <w:highlight w:val="none"/>
        </w:rPr>
      </w:pPr>
      <w:bookmarkStart w:id="0" w:name="_Toc345163756"/>
      <w:bookmarkStart w:id="1" w:name="_Toc345162955"/>
      <w:bookmarkStart w:id="2" w:name="_Toc345163504"/>
      <w:r>
        <w:rPr>
          <w:rFonts w:hint="default" w:ascii="Times New Roman" w:hAnsi="Times New Roman" w:eastAsia="方正黑体_GBK" w:cs="Times New Roman"/>
          <w:color w:val="auto"/>
          <w:sz w:val="32"/>
          <w:szCs w:val="32"/>
          <w:highlight w:val="none"/>
          <w:lang w:val="en-US" w:eastAsia="zh-CN"/>
        </w:rPr>
        <w:t>参选函附录</w:t>
      </w:r>
      <w:bookmarkEnd w:id="0"/>
      <w:bookmarkEnd w:id="1"/>
      <w:bookmarkEnd w:id="2"/>
    </w:p>
    <w:tbl>
      <w:tblPr>
        <w:tblStyle w:val="6"/>
        <w:tblW w:w="8257" w:type="dxa"/>
        <w:tblInd w:w="709" w:type="dxa"/>
        <w:tblLayout w:type="fixed"/>
        <w:tblCellMar>
          <w:top w:w="0" w:type="dxa"/>
          <w:left w:w="0" w:type="dxa"/>
          <w:bottom w:w="0" w:type="dxa"/>
          <w:right w:w="0" w:type="dxa"/>
        </w:tblCellMar>
      </w:tblPr>
      <w:tblGrid>
        <w:gridCol w:w="986"/>
        <w:gridCol w:w="2001"/>
        <w:gridCol w:w="3285"/>
        <w:gridCol w:w="1985"/>
      </w:tblGrid>
      <w:tr w14:paraId="2015CBD5">
        <w:tblPrEx>
          <w:tblCellMar>
            <w:top w:w="0" w:type="dxa"/>
            <w:left w:w="0" w:type="dxa"/>
            <w:bottom w:w="0" w:type="dxa"/>
            <w:right w:w="0" w:type="dxa"/>
          </w:tblCellMar>
        </w:tblPrEx>
        <w:trPr>
          <w:trHeight w:val="567" w:hRule="exact"/>
        </w:trPr>
        <w:tc>
          <w:tcPr>
            <w:tcW w:w="986" w:type="dxa"/>
            <w:tcBorders>
              <w:top w:val="single" w:color="000000" w:sz="4" w:space="0"/>
              <w:left w:val="single" w:color="000000" w:sz="4" w:space="0"/>
              <w:bottom w:val="single" w:color="000000" w:sz="6" w:space="0"/>
              <w:right w:val="single" w:color="000000" w:sz="6" w:space="0"/>
            </w:tcBorders>
          </w:tcPr>
          <w:p w14:paraId="308A2AC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序号</w:t>
            </w:r>
          </w:p>
        </w:tc>
        <w:tc>
          <w:tcPr>
            <w:tcW w:w="2001" w:type="dxa"/>
            <w:tcBorders>
              <w:top w:val="single" w:color="000000" w:sz="4" w:space="0"/>
              <w:left w:val="single" w:color="000000" w:sz="6" w:space="0"/>
              <w:bottom w:val="single" w:color="000000" w:sz="6" w:space="0"/>
              <w:right w:val="single" w:color="000000" w:sz="6" w:space="0"/>
            </w:tcBorders>
          </w:tcPr>
          <w:p w14:paraId="0580461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条款名称</w:t>
            </w:r>
          </w:p>
        </w:tc>
        <w:tc>
          <w:tcPr>
            <w:tcW w:w="3285" w:type="dxa"/>
            <w:tcBorders>
              <w:top w:val="single" w:color="000000" w:sz="4" w:space="0"/>
              <w:left w:val="single" w:color="000000" w:sz="6" w:space="0"/>
              <w:bottom w:val="single" w:color="000000" w:sz="6" w:space="0"/>
              <w:right w:val="single" w:color="000000" w:sz="6" w:space="0"/>
            </w:tcBorders>
          </w:tcPr>
          <w:p w14:paraId="5566490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约定内容</w:t>
            </w:r>
          </w:p>
        </w:tc>
        <w:tc>
          <w:tcPr>
            <w:tcW w:w="1985" w:type="dxa"/>
            <w:tcBorders>
              <w:top w:val="single" w:color="000000" w:sz="4" w:space="0"/>
              <w:left w:val="single" w:color="000000" w:sz="6" w:space="0"/>
              <w:bottom w:val="single" w:color="000000" w:sz="6" w:space="0"/>
              <w:right w:val="single" w:color="000000" w:sz="4" w:space="0"/>
            </w:tcBorders>
          </w:tcPr>
          <w:p w14:paraId="48B8F68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备注</w:t>
            </w:r>
          </w:p>
        </w:tc>
      </w:tr>
      <w:tr w14:paraId="328C18F7">
        <w:tblPrEx>
          <w:tblCellMar>
            <w:top w:w="0" w:type="dxa"/>
            <w:left w:w="0" w:type="dxa"/>
            <w:bottom w:w="0" w:type="dxa"/>
            <w:right w:w="0" w:type="dxa"/>
          </w:tblCellMar>
        </w:tblPrEx>
        <w:trPr>
          <w:trHeight w:val="567" w:hRule="exact"/>
        </w:trPr>
        <w:tc>
          <w:tcPr>
            <w:tcW w:w="986" w:type="dxa"/>
            <w:tcBorders>
              <w:top w:val="single" w:color="000000" w:sz="4" w:space="0"/>
              <w:left w:val="single" w:color="000000" w:sz="4" w:space="0"/>
              <w:bottom w:val="single" w:color="000000" w:sz="6" w:space="0"/>
              <w:right w:val="single" w:color="000000" w:sz="6" w:space="0"/>
            </w:tcBorders>
          </w:tcPr>
          <w:p w14:paraId="20F5B5F5">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1</w:t>
            </w:r>
          </w:p>
        </w:tc>
        <w:tc>
          <w:tcPr>
            <w:tcW w:w="2001" w:type="dxa"/>
            <w:tcBorders>
              <w:top w:val="single" w:color="000000" w:sz="4" w:space="0"/>
              <w:left w:val="single" w:color="000000" w:sz="6" w:space="0"/>
              <w:bottom w:val="single" w:color="000000" w:sz="6" w:space="0"/>
              <w:right w:val="single" w:color="000000" w:sz="6" w:space="0"/>
            </w:tcBorders>
            <w:vAlign w:val="top"/>
          </w:tcPr>
          <w:p w14:paraId="0BDDCC17">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工期</w:t>
            </w:r>
          </w:p>
        </w:tc>
        <w:tc>
          <w:tcPr>
            <w:tcW w:w="3285" w:type="dxa"/>
            <w:tcBorders>
              <w:top w:val="single" w:color="000000" w:sz="4" w:space="0"/>
              <w:left w:val="single" w:color="000000" w:sz="6" w:space="0"/>
              <w:bottom w:val="single" w:color="000000" w:sz="6" w:space="0"/>
              <w:right w:val="single" w:color="000000" w:sz="6" w:space="0"/>
            </w:tcBorders>
            <w:vAlign w:val="top"/>
          </w:tcPr>
          <w:p w14:paraId="4289BA35">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lang w:val="en-US" w:eastAsia="zh-CN"/>
              </w:rPr>
            </w:pPr>
          </w:p>
        </w:tc>
        <w:tc>
          <w:tcPr>
            <w:tcW w:w="1985" w:type="dxa"/>
            <w:tcBorders>
              <w:top w:val="single" w:color="000000" w:sz="4" w:space="0"/>
              <w:left w:val="single" w:color="000000" w:sz="6" w:space="0"/>
              <w:bottom w:val="single" w:color="000000" w:sz="6" w:space="0"/>
              <w:right w:val="single" w:color="000000" w:sz="4" w:space="0"/>
            </w:tcBorders>
          </w:tcPr>
          <w:p w14:paraId="740DFEC5">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tc>
      </w:tr>
      <w:tr w14:paraId="557EE012">
        <w:tblPrEx>
          <w:tblCellMar>
            <w:top w:w="0" w:type="dxa"/>
            <w:left w:w="0" w:type="dxa"/>
            <w:bottom w:w="0" w:type="dxa"/>
            <w:right w:w="0" w:type="dxa"/>
          </w:tblCellMar>
        </w:tblPrEx>
        <w:trPr>
          <w:trHeight w:val="567" w:hRule="exact"/>
        </w:trPr>
        <w:tc>
          <w:tcPr>
            <w:tcW w:w="986" w:type="dxa"/>
            <w:tcBorders>
              <w:top w:val="single" w:color="000000" w:sz="6" w:space="0"/>
              <w:left w:val="single" w:color="000000" w:sz="4" w:space="0"/>
              <w:bottom w:val="single" w:color="000000" w:sz="6" w:space="0"/>
              <w:right w:val="single" w:color="000000" w:sz="6" w:space="0"/>
            </w:tcBorders>
          </w:tcPr>
          <w:p w14:paraId="4DC97A4B">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2</w:t>
            </w:r>
          </w:p>
        </w:tc>
        <w:tc>
          <w:tcPr>
            <w:tcW w:w="2001" w:type="dxa"/>
            <w:tcBorders>
              <w:top w:val="single" w:color="000000" w:sz="6" w:space="0"/>
              <w:left w:val="single" w:color="000000" w:sz="6" w:space="0"/>
              <w:bottom w:val="single" w:color="000000" w:sz="6" w:space="0"/>
              <w:right w:val="single" w:color="000000" w:sz="6" w:space="0"/>
            </w:tcBorders>
          </w:tcPr>
          <w:p w14:paraId="24942965">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项目负责人</w:t>
            </w:r>
          </w:p>
        </w:tc>
        <w:tc>
          <w:tcPr>
            <w:tcW w:w="3285" w:type="dxa"/>
            <w:tcBorders>
              <w:top w:val="single" w:color="000000" w:sz="6" w:space="0"/>
              <w:left w:val="single" w:color="000000" w:sz="6" w:space="0"/>
              <w:bottom w:val="single" w:color="000000" w:sz="6" w:space="0"/>
              <w:right w:val="single" w:color="000000" w:sz="6" w:space="0"/>
            </w:tcBorders>
          </w:tcPr>
          <w:p w14:paraId="2D6FEF20">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tc>
        <w:tc>
          <w:tcPr>
            <w:tcW w:w="1985" w:type="dxa"/>
            <w:tcBorders>
              <w:top w:val="single" w:color="000000" w:sz="6" w:space="0"/>
              <w:left w:val="single" w:color="000000" w:sz="6" w:space="0"/>
              <w:bottom w:val="single" w:color="000000" w:sz="6" w:space="0"/>
              <w:right w:val="single" w:color="000000" w:sz="4" w:space="0"/>
            </w:tcBorders>
          </w:tcPr>
          <w:p w14:paraId="69A24F8A">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tc>
      </w:tr>
      <w:tr w14:paraId="0637E123">
        <w:tblPrEx>
          <w:tblCellMar>
            <w:top w:w="0" w:type="dxa"/>
            <w:left w:w="0" w:type="dxa"/>
            <w:bottom w:w="0" w:type="dxa"/>
            <w:right w:w="0" w:type="dxa"/>
          </w:tblCellMar>
        </w:tblPrEx>
        <w:trPr>
          <w:trHeight w:val="567" w:hRule="exact"/>
        </w:trPr>
        <w:tc>
          <w:tcPr>
            <w:tcW w:w="986" w:type="dxa"/>
            <w:tcBorders>
              <w:top w:val="single" w:color="000000" w:sz="6" w:space="0"/>
              <w:left w:val="single" w:color="000000" w:sz="4" w:space="0"/>
              <w:bottom w:val="single" w:color="000000" w:sz="6" w:space="0"/>
              <w:right w:val="single" w:color="000000" w:sz="6" w:space="0"/>
            </w:tcBorders>
          </w:tcPr>
          <w:p w14:paraId="35BB06AE">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lang w:eastAsia="zh-CN"/>
              </w:rPr>
            </w:pPr>
            <w:r>
              <w:rPr>
                <w:rFonts w:hint="default" w:ascii="Times New Roman" w:hAnsi="Times New Roman" w:eastAsia="方正仿宋_GBK" w:cs="Times New Roman"/>
                <w:color w:val="auto"/>
                <w:sz w:val="28"/>
                <w:szCs w:val="28"/>
                <w:highlight w:val="none"/>
                <w:lang w:val="en-US" w:eastAsia="zh-CN"/>
              </w:rPr>
              <w:t>3</w:t>
            </w:r>
          </w:p>
        </w:tc>
        <w:tc>
          <w:tcPr>
            <w:tcW w:w="2001" w:type="dxa"/>
            <w:tcBorders>
              <w:top w:val="single" w:color="000000" w:sz="6" w:space="0"/>
              <w:left w:val="single" w:color="000000" w:sz="6" w:space="0"/>
              <w:bottom w:val="single" w:color="000000" w:sz="6" w:space="0"/>
              <w:right w:val="single" w:color="000000" w:sz="6" w:space="0"/>
            </w:tcBorders>
          </w:tcPr>
          <w:p w14:paraId="0D0E47DC">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分包</w:t>
            </w:r>
          </w:p>
        </w:tc>
        <w:tc>
          <w:tcPr>
            <w:tcW w:w="3285" w:type="dxa"/>
            <w:tcBorders>
              <w:top w:val="single" w:color="000000" w:sz="6" w:space="0"/>
              <w:left w:val="single" w:color="000000" w:sz="6" w:space="0"/>
              <w:bottom w:val="single" w:color="000000" w:sz="6" w:space="0"/>
              <w:right w:val="single" w:color="000000" w:sz="6" w:space="0"/>
            </w:tcBorders>
            <w:vAlign w:val="center"/>
          </w:tcPr>
          <w:p w14:paraId="396FE89A">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不允许</w:t>
            </w:r>
          </w:p>
        </w:tc>
        <w:tc>
          <w:tcPr>
            <w:tcW w:w="1985" w:type="dxa"/>
            <w:tcBorders>
              <w:top w:val="single" w:color="000000" w:sz="6" w:space="0"/>
              <w:left w:val="single" w:color="000000" w:sz="6" w:space="0"/>
              <w:bottom w:val="single" w:color="000000" w:sz="6" w:space="0"/>
              <w:right w:val="single" w:color="000000" w:sz="4" w:space="0"/>
            </w:tcBorders>
          </w:tcPr>
          <w:p w14:paraId="7766B26B">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tc>
      </w:tr>
      <w:tr w14:paraId="07B681B7">
        <w:tblPrEx>
          <w:tblCellMar>
            <w:top w:w="0" w:type="dxa"/>
            <w:left w:w="0" w:type="dxa"/>
            <w:bottom w:w="0" w:type="dxa"/>
            <w:right w:w="0" w:type="dxa"/>
          </w:tblCellMar>
        </w:tblPrEx>
        <w:trPr>
          <w:trHeight w:val="567" w:hRule="exact"/>
        </w:trPr>
        <w:tc>
          <w:tcPr>
            <w:tcW w:w="986" w:type="dxa"/>
            <w:tcBorders>
              <w:top w:val="single" w:color="000000" w:sz="6" w:space="0"/>
              <w:left w:val="single" w:color="000000" w:sz="4" w:space="0"/>
              <w:bottom w:val="single" w:color="000000" w:sz="6" w:space="0"/>
              <w:right w:val="single" w:color="000000" w:sz="6" w:space="0"/>
            </w:tcBorders>
            <w:vAlign w:val="center"/>
          </w:tcPr>
          <w:p w14:paraId="0550060A">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w:t>
            </w:r>
          </w:p>
        </w:tc>
        <w:tc>
          <w:tcPr>
            <w:tcW w:w="2001" w:type="dxa"/>
            <w:tcBorders>
              <w:top w:val="single" w:color="000000" w:sz="6" w:space="0"/>
              <w:left w:val="single" w:color="000000" w:sz="6" w:space="0"/>
              <w:bottom w:val="single" w:color="000000" w:sz="6" w:space="0"/>
              <w:right w:val="single" w:color="000000" w:sz="6" w:space="0"/>
            </w:tcBorders>
            <w:vAlign w:val="center"/>
          </w:tcPr>
          <w:p w14:paraId="6C4658E7">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w:t>
            </w:r>
          </w:p>
        </w:tc>
        <w:tc>
          <w:tcPr>
            <w:tcW w:w="3285" w:type="dxa"/>
            <w:tcBorders>
              <w:top w:val="single" w:color="000000" w:sz="6" w:space="0"/>
              <w:left w:val="single" w:color="000000" w:sz="6" w:space="0"/>
              <w:bottom w:val="single" w:color="000000" w:sz="6" w:space="0"/>
              <w:right w:val="single" w:color="000000" w:sz="6" w:space="0"/>
            </w:tcBorders>
            <w:vAlign w:val="center"/>
          </w:tcPr>
          <w:p w14:paraId="5FCCE14A">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w:t>
            </w:r>
          </w:p>
        </w:tc>
        <w:tc>
          <w:tcPr>
            <w:tcW w:w="1985" w:type="dxa"/>
            <w:tcBorders>
              <w:top w:val="single" w:color="000000" w:sz="6" w:space="0"/>
              <w:left w:val="single" w:color="000000" w:sz="6" w:space="0"/>
              <w:bottom w:val="single" w:color="000000" w:sz="6" w:space="0"/>
              <w:right w:val="single" w:color="000000" w:sz="4" w:space="0"/>
            </w:tcBorders>
          </w:tcPr>
          <w:p w14:paraId="282213D9">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tc>
      </w:tr>
      <w:tr w14:paraId="6C6F8E9A">
        <w:tblPrEx>
          <w:tblCellMar>
            <w:top w:w="0" w:type="dxa"/>
            <w:left w:w="0" w:type="dxa"/>
            <w:bottom w:w="0" w:type="dxa"/>
            <w:right w:w="0" w:type="dxa"/>
          </w:tblCellMar>
        </w:tblPrEx>
        <w:trPr>
          <w:trHeight w:val="567" w:hRule="exact"/>
        </w:trPr>
        <w:tc>
          <w:tcPr>
            <w:tcW w:w="986" w:type="dxa"/>
            <w:tcBorders>
              <w:top w:val="single" w:color="000000" w:sz="6" w:space="0"/>
              <w:left w:val="single" w:color="000000" w:sz="4" w:space="0"/>
              <w:bottom w:val="single" w:color="000000" w:sz="6" w:space="0"/>
              <w:right w:val="single" w:color="000000" w:sz="6" w:space="0"/>
            </w:tcBorders>
            <w:vAlign w:val="center"/>
          </w:tcPr>
          <w:p w14:paraId="173CD3A5">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w:t>
            </w:r>
          </w:p>
        </w:tc>
        <w:tc>
          <w:tcPr>
            <w:tcW w:w="2001" w:type="dxa"/>
            <w:tcBorders>
              <w:top w:val="single" w:color="000000" w:sz="6" w:space="0"/>
              <w:left w:val="single" w:color="000000" w:sz="6" w:space="0"/>
              <w:bottom w:val="single" w:color="000000" w:sz="6" w:space="0"/>
              <w:right w:val="single" w:color="000000" w:sz="6" w:space="0"/>
            </w:tcBorders>
            <w:vAlign w:val="center"/>
          </w:tcPr>
          <w:p w14:paraId="780BC30C">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w:t>
            </w:r>
          </w:p>
        </w:tc>
        <w:tc>
          <w:tcPr>
            <w:tcW w:w="3285" w:type="dxa"/>
            <w:tcBorders>
              <w:top w:val="single" w:color="000000" w:sz="6" w:space="0"/>
              <w:left w:val="single" w:color="000000" w:sz="6" w:space="0"/>
              <w:bottom w:val="single" w:color="000000" w:sz="6" w:space="0"/>
              <w:right w:val="single" w:color="000000" w:sz="6" w:space="0"/>
            </w:tcBorders>
            <w:vAlign w:val="center"/>
          </w:tcPr>
          <w:p w14:paraId="3255952B">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w:t>
            </w:r>
          </w:p>
        </w:tc>
        <w:tc>
          <w:tcPr>
            <w:tcW w:w="1985" w:type="dxa"/>
            <w:tcBorders>
              <w:top w:val="single" w:color="000000" w:sz="6" w:space="0"/>
              <w:left w:val="single" w:color="000000" w:sz="6" w:space="0"/>
              <w:bottom w:val="single" w:color="000000" w:sz="6" w:space="0"/>
              <w:right w:val="single" w:color="000000" w:sz="4" w:space="0"/>
            </w:tcBorders>
            <w:vAlign w:val="center"/>
          </w:tcPr>
          <w:p w14:paraId="37C479C2">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tc>
      </w:tr>
      <w:tr w14:paraId="105D6788">
        <w:tblPrEx>
          <w:tblCellMar>
            <w:top w:w="0" w:type="dxa"/>
            <w:left w:w="0" w:type="dxa"/>
            <w:bottom w:w="0" w:type="dxa"/>
            <w:right w:w="0" w:type="dxa"/>
          </w:tblCellMar>
        </w:tblPrEx>
        <w:trPr>
          <w:trHeight w:val="567" w:hRule="exact"/>
        </w:trPr>
        <w:tc>
          <w:tcPr>
            <w:tcW w:w="986" w:type="dxa"/>
            <w:tcBorders>
              <w:top w:val="single" w:color="000000" w:sz="6" w:space="0"/>
              <w:left w:val="single" w:color="000000" w:sz="4" w:space="0"/>
              <w:bottom w:val="single" w:color="000000" w:sz="6" w:space="0"/>
              <w:right w:val="single" w:color="000000" w:sz="6" w:space="0"/>
            </w:tcBorders>
            <w:vAlign w:val="center"/>
          </w:tcPr>
          <w:p w14:paraId="4D75EE61">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w:t>
            </w:r>
          </w:p>
        </w:tc>
        <w:tc>
          <w:tcPr>
            <w:tcW w:w="2001" w:type="dxa"/>
            <w:tcBorders>
              <w:top w:val="single" w:color="000000" w:sz="6" w:space="0"/>
              <w:left w:val="single" w:color="000000" w:sz="6" w:space="0"/>
              <w:bottom w:val="single" w:color="000000" w:sz="6" w:space="0"/>
              <w:right w:val="single" w:color="000000" w:sz="6" w:space="0"/>
            </w:tcBorders>
            <w:vAlign w:val="center"/>
          </w:tcPr>
          <w:p w14:paraId="1E275229">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w:t>
            </w:r>
          </w:p>
        </w:tc>
        <w:tc>
          <w:tcPr>
            <w:tcW w:w="3285" w:type="dxa"/>
            <w:tcBorders>
              <w:top w:val="single" w:color="000000" w:sz="6" w:space="0"/>
              <w:left w:val="single" w:color="000000" w:sz="6" w:space="0"/>
              <w:bottom w:val="single" w:color="000000" w:sz="6" w:space="0"/>
              <w:right w:val="single" w:color="000000" w:sz="6" w:space="0"/>
            </w:tcBorders>
            <w:vAlign w:val="center"/>
          </w:tcPr>
          <w:p w14:paraId="1045497B">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w:t>
            </w:r>
          </w:p>
        </w:tc>
        <w:tc>
          <w:tcPr>
            <w:tcW w:w="1985" w:type="dxa"/>
            <w:tcBorders>
              <w:top w:val="single" w:color="000000" w:sz="6" w:space="0"/>
              <w:left w:val="single" w:color="000000" w:sz="6" w:space="0"/>
              <w:bottom w:val="single" w:color="000000" w:sz="6" w:space="0"/>
              <w:right w:val="single" w:color="000000" w:sz="4" w:space="0"/>
            </w:tcBorders>
            <w:vAlign w:val="center"/>
          </w:tcPr>
          <w:p w14:paraId="234CBD20">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tc>
      </w:tr>
    </w:tbl>
    <w:p w14:paraId="495D9E60">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6F2E64BE">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4488F6D3">
      <w:pPr>
        <w:keepNext w:val="0"/>
        <w:keepLines w:val="0"/>
        <w:pageBreakBefore w:val="0"/>
        <w:widowControl w:val="0"/>
        <w:kinsoku/>
        <w:wordWrap/>
        <w:overflowPunct/>
        <w:topLinePunct w:val="0"/>
        <w:autoSpaceDE/>
        <w:autoSpaceDN/>
        <w:bidi w:val="0"/>
        <w:adjustRightInd/>
        <w:snapToGrid/>
        <w:spacing w:line="500" w:lineRule="exact"/>
        <w:ind w:firstLine="1120" w:firstLineChars="4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参选人：</w:t>
      </w:r>
      <w:r>
        <w:rPr>
          <w:rFonts w:hint="default" w:ascii="Times New Roman" w:hAnsi="Times New Roman" w:eastAsia="方正仿宋_GBK" w:cs="Times New Roman"/>
          <w:color w:val="auto"/>
          <w:sz w:val="28"/>
          <w:szCs w:val="28"/>
          <w:highlight w:val="none"/>
        </w:rPr>
        <w:t xml:space="preserve">                    </w:t>
      </w:r>
      <w:r>
        <w:rPr>
          <w:rFonts w:hint="default" w:ascii="Times New Roman" w:hAnsi="Times New Roman" w:eastAsia="方正仿宋_GBK" w:cs="Times New Roman"/>
          <w:color w:val="auto"/>
          <w:sz w:val="28"/>
          <w:szCs w:val="28"/>
          <w:highlight w:val="none"/>
          <w:lang w:val="en-US" w:eastAsia="zh-CN"/>
        </w:rPr>
        <w:t xml:space="preserve">  </w:t>
      </w:r>
      <w:r>
        <w:rPr>
          <w:rFonts w:hint="default" w:ascii="Times New Roman" w:hAnsi="Times New Roman" w:eastAsia="方正仿宋_GBK" w:cs="Times New Roman"/>
          <w:color w:val="auto"/>
          <w:sz w:val="28"/>
          <w:szCs w:val="28"/>
          <w:highlight w:val="none"/>
        </w:rPr>
        <w:t xml:space="preserve">     </w:t>
      </w:r>
      <w:r>
        <w:rPr>
          <w:rFonts w:hint="default" w:ascii="Times New Roman" w:hAnsi="Times New Roman" w:eastAsia="方正仿宋_GBK" w:cs="Times New Roman"/>
          <w:color w:val="auto"/>
          <w:sz w:val="28"/>
          <w:szCs w:val="28"/>
          <w:highlight w:val="none"/>
          <w:lang w:val="en-US" w:eastAsia="zh-CN"/>
        </w:rPr>
        <w:t xml:space="preserve"> （盖单位公章）</w:t>
      </w:r>
    </w:p>
    <w:p w14:paraId="31745380">
      <w:pPr>
        <w:keepNext w:val="0"/>
        <w:keepLines w:val="0"/>
        <w:pageBreakBefore w:val="0"/>
        <w:widowControl w:val="0"/>
        <w:kinsoku/>
        <w:wordWrap/>
        <w:overflowPunct/>
        <w:topLinePunct w:val="0"/>
        <w:autoSpaceDE/>
        <w:autoSpaceDN/>
        <w:bidi w:val="0"/>
        <w:adjustRightInd/>
        <w:snapToGrid/>
        <w:spacing w:line="500" w:lineRule="exact"/>
        <w:ind w:firstLine="1120" w:firstLineChars="4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法定代表人或委托代理人：       （签字）</w:t>
      </w:r>
    </w:p>
    <w:p w14:paraId="4A7CF3ED">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default" w:ascii="Times New Roman" w:hAnsi="Times New Roman" w:eastAsia="方正仿宋_GBK" w:cs="Times New Roman"/>
          <w:color w:val="auto"/>
          <w:sz w:val="28"/>
          <w:szCs w:val="28"/>
          <w:highlight w:val="none"/>
          <w:lang w:val="en-US" w:eastAsia="zh-CN"/>
        </w:rPr>
      </w:pPr>
      <w:r>
        <w:rPr>
          <w:rFonts w:hint="default" w:ascii="Times New Roman" w:hAnsi="Times New Roman" w:eastAsia="方正仿宋_GBK" w:cs="Times New Roman"/>
          <w:color w:val="auto"/>
          <w:sz w:val="28"/>
          <w:szCs w:val="28"/>
          <w:highlight w:val="none"/>
          <w:lang w:val="en-US" w:eastAsia="zh-CN"/>
        </w:rPr>
        <w:t>年</w:t>
      </w:r>
      <w:r>
        <w:rPr>
          <w:rFonts w:hint="eastAsia" w:ascii="Times New Roman" w:hAnsi="Times New Roman" w:eastAsia="方正仿宋_GBK" w:cs="Times New Roman"/>
          <w:color w:val="auto"/>
          <w:sz w:val="28"/>
          <w:szCs w:val="28"/>
          <w:highlight w:val="none"/>
          <w:lang w:val="en-US" w:eastAsia="zh-CN"/>
        </w:rPr>
        <w:t xml:space="preserve">  </w:t>
      </w:r>
      <w:r>
        <w:rPr>
          <w:rFonts w:hint="default" w:ascii="Times New Roman" w:hAnsi="Times New Roman" w:eastAsia="方正仿宋_GBK" w:cs="Times New Roman"/>
          <w:color w:val="auto"/>
          <w:sz w:val="28"/>
          <w:szCs w:val="28"/>
          <w:highlight w:val="none"/>
          <w:lang w:val="en-US" w:eastAsia="zh-CN"/>
        </w:rPr>
        <w:t>月</w:t>
      </w:r>
      <w:r>
        <w:rPr>
          <w:rFonts w:hint="eastAsia" w:ascii="Times New Roman" w:hAnsi="Times New Roman" w:eastAsia="方正仿宋_GBK" w:cs="Times New Roman"/>
          <w:color w:val="auto"/>
          <w:sz w:val="28"/>
          <w:szCs w:val="28"/>
          <w:highlight w:val="none"/>
          <w:lang w:val="en-US" w:eastAsia="zh-CN"/>
        </w:rPr>
        <w:t xml:space="preserve">   日</w:t>
      </w:r>
    </w:p>
    <w:p w14:paraId="7BF601A6">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default" w:ascii="Times New Roman" w:hAnsi="Times New Roman" w:eastAsia="方正仿宋_GBK" w:cs="Times New Roman"/>
          <w:color w:val="auto"/>
          <w:sz w:val="28"/>
          <w:szCs w:val="28"/>
          <w:highlight w:val="none"/>
          <w:lang w:val="en-US" w:eastAsia="zh-CN"/>
        </w:rPr>
      </w:pPr>
    </w:p>
    <w:p w14:paraId="75FC5194">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default" w:ascii="Times New Roman" w:hAnsi="Times New Roman" w:eastAsia="方正仿宋_GBK" w:cs="Times New Roman"/>
          <w:color w:val="auto"/>
          <w:sz w:val="28"/>
          <w:szCs w:val="28"/>
          <w:highlight w:val="none"/>
          <w:lang w:val="en-US" w:eastAsia="zh-CN"/>
        </w:rPr>
      </w:pPr>
    </w:p>
    <w:p w14:paraId="7A4A1CF0">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default" w:ascii="Times New Roman" w:hAnsi="Times New Roman" w:eastAsia="方正仿宋_GBK" w:cs="Times New Roman"/>
          <w:color w:val="auto"/>
          <w:sz w:val="28"/>
          <w:szCs w:val="28"/>
          <w:highlight w:val="none"/>
          <w:lang w:val="en-US" w:eastAsia="zh-CN"/>
        </w:rPr>
      </w:pPr>
    </w:p>
    <w:p w14:paraId="25494DF2">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default" w:ascii="Times New Roman" w:hAnsi="Times New Roman" w:eastAsia="方正仿宋_GBK" w:cs="Times New Roman"/>
          <w:color w:val="auto"/>
          <w:sz w:val="28"/>
          <w:szCs w:val="28"/>
          <w:highlight w:val="none"/>
          <w:lang w:val="en-US" w:eastAsia="zh-CN"/>
        </w:rPr>
      </w:pPr>
    </w:p>
    <w:p w14:paraId="1B03B6C3">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default" w:ascii="Times New Roman" w:hAnsi="Times New Roman" w:eastAsia="方正仿宋_GBK" w:cs="Times New Roman"/>
          <w:color w:val="auto"/>
          <w:sz w:val="28"/>
          <w:szCs w:val="28"/>
          <w:highlight w:val="none"/>
          <w:lang w:val="en-US" w:eastAsia="zh-CN"/>
        </w:rPr>
      </w:pPr>
    </w:p>
    <w:p w14:paraId="71F9BF9F">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default" w:ascii="Times New Roman" w:hAnsi="Times New Roman" w:eastAsia="方正仿宋_GBK" w:cs="Times New Roman"/>
          <w:color w:val="auto"/>
          <w:sz w:val="28"/>
          <w:szCs w:val="28"/>
          <w:highlight w:val="none"/>
          <w:lang w:val="en-US" w:eastAsia="zh-CN"/>
        </w:rPr>
      </w:pPr>
    </w:p>
    <w:p w14:paraId="352FE99B">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default" w:ascii="Times New Roman" w:hAnsi="Times New Roman" w:eastAsia="方正仿宋_GBK" w:cs="Times New Roman"/>
          <w:color w:val="auto"/>
          <w:sz w:val="28"/>
          <w:szCs w:val="28"/>
          <w:highlight w:val="none"/>
          <w:lang w:val="en-US" w:eastAsia="zh-CN"/>
        </w:rPr>
      </w:pPr>
    </w:p>
    <w:p w14:paraId="34229C4A">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default" w:ascii="Times New Roman" w:hAnsi="Times New Roman" w:eastAsia="方正仿宋_GBK" w:cs="Times New Roman"/>
          <w:color w:val="auto"/>
          <w:sz w:val="28"/>
          <w:szCs w:val="28"/>
          <w:highlight w:val="none"/>
          <w:lang w:val="en-US" w:eastAsia="zh-CN"/>
        </w:rPr>
      </w:pPr>
    </w:p>
    <w:p w14:paraId="608BAC90">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default" w:ascii="Times New Roman" w:hAnsi="Times New Roman" w:eastAsia="方正仿宋_GBK" w:cs="Times New Roman"/>
          <w:color w:val="auto"/>
          <w:sz w:val="28"/>
          <w:szCs w:val="28"/>
          <w:highlight w:val="none"/>
          <w:lang w:val="en-US" w:eastAsia="zh-CN"/>
        </w:rPr>
      </w:pPr>
    </w:p>
    <w:p w14:paraId="6EBFC638">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default" w:ascii="Times New Roman" w:hAnsi="Times New Roman" w:eastAsia="方正仿宋_GBK" w:cs="Times New Roman"/>
          <w:color w:val="auto"/>
          <w:sz w:val="28"/>
          <w:szCs w:val="28"/>
          <w:highlight w:val="none"/>
          <w:lang w:val="en-US" w:eastAsia="zh-CN"/>
        </w:rPr>
      </w:pPr>
    </w:p>
    <w:p w14:paraId="0A05D57E">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default" w:ascii="Times New Roman" w:hAnsi="Times New Roman" w:eastAsia="方正仿宋_GBK" w:cs="Times New Roman"/>
          <w:color w:val="auto"/>
          <w:sz w:val="28"/>
          <w:szCs w:val="28"/>
          <w:highlight w:val="none"/>
          <w:lang w:val="en-US" w:eastAsia="zh-CN"/>
        </w:rPr>
      </w:pPr>
    </w:p>
    <w:p w14:paraId="60089F8E">
      <w:pPr>
        <w:pStyle w:val="3"/>
        <w:rPr>
          <w:rFonts w:hint="default"/>
          <w:color w:val="auto"/>
          <w:highlight w:val="none"/>
          <w:lang w:val="en-US" w:eastAsia="zh-CN"/>
        </w:rPr>
      </w:pPr>
    </w:p>
    <w:p w14:paraId="27D3AFC2">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lang w:val="en-US" w:eastAsia="zh-CN"/>
        </w:rPr>
      </w:pPr>
    </w:p>
    <w:p w14:paraId="69BD65C2">
      <w:pPr>
        <w:keepNext w:val="0"/>
        <w:keepLines w:val="0"/>
        <w:pageBreakBefore w:val="0"/>
        <w:widowControl w:val="0"/>
        <w:kinsoku/>
        <w:wordWrap/>
        <w:overflowPunct/>
        <w:topLinePunct w:val="0"/>
        <w:autoSpaceDE/>
        <w:autoSpaceDN/>
        <w:bidi w:val="0"/>
        <w:adjustRightInd/>
        <w:snapToGrid/>
        <w:spacing w:line="500" w:lineRule="exact"/>
        <w:ind w:firstLine="3920" w:firstLineChars="1400"/>
        <w:textAlignment w:val="auto"/>
        <w:rPr>
          <w:rFonts w:hint="default" w:ascii="Times New Roman" w:hAnsi="Times New Roman" w:eastAsia="方正仿宋_GBK" w:cs="Times New Roman"/>
          <w:color w:val="auto"/>
          <w:sz w:val="28"/>
          <w:szCs w:val="28"/>
          <w:highlight w:val="none"/>
          <w:lang w:val="en-US" w:eastAsia="zh-CN"/>
        </w:rPr>
      </w:pPr>
    </w:p>
    <w:p w14:paraId="4817247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黑体_GBK" w:cs="Times New Roman"/>
          <w:color w:val="auto"/>
          <w:sz w:val="32"/>
          <w:szCs w:val="32"/>
          <w:highlight w:val="none"/>
          <w:lang w:val="en-US" w:eastAsia="zh-CN"/>
        </w:rPr>
      </w:pPr>
      <w:r>
        <w:rPr>
          <w:rFonts w:hint="default" w:ascii="Times New Roman" w:hAnsi="Times New Roman" w:eastAsia="方正黑体_GBK" w:cs="Times New Roman"/>
          <w:color w:val="auto"/>
          <w:sz w:val="32"/>
          <w:szCs w:val="32"/>
          <w:highlight w:val="none"/>
          <w:lang w:val="en-US" w:eastAsia="zh-CN"/>
        </w:rPr>
        <w:t>法定代表人身份证明</w:t>
      </w:r>
    </w:p>
    <w:p w14:paraId="7196B1AF">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4E6CDB14">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eastAsia="zh-CN"/>
        </w:rPr>
        <w:t>参选人</w:t>
      </w:r>
      <w:r>
        <w:rPr>
          <w:rFonts w:hint="default" w:ascii="Times New Roman" w:hAnsi="Times New Roman" w:eastAsia="方正仿宋_GBK" w:cs="Times New Roman"/>
          <w:color w:val="auto"/>
          <w:sz w:val="28"/>
          <w:szCs w:val="28"/>
          <w:highlight w:val="none"/>
        </w:rPr>
        <w:t>名称：</w:t>
      </w:r>
    </w:p>
    <w:p w14:paraId="2890F75B">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单位性质：</w:t>
      </w:r>
    </w:p>
    <w:p w14:paraId="351B9C60">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地址：</w:t>
      </w:r>
    </w:p>
    <w:p w14:paraId="4141C589">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成立时间：  年   月   日</w:t>
      </w:r>
    </w:p>
    <w:p w14:paraId="1E953DA4">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经营期限：</w:t>
      </w:r>
    </w:p>
    <w:p w14:paraId="57E170C6">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姓名：   性别：   年龄：   职务：</w:t>
      </w:r>
    </w:p>
    <w:p w14:paraId="72FE40CD">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系（</w:t>
      </w:r>
      <w:r>
        <w:rPr>
          <w:rFonts w:hint="default" w:ascii="Times New Roman" w:hAnsi="Times New Roman" w:eastAsia="方正仿宋_GBK" w:cs="Times New Roman"/>
          <w:color w:val="auto"/>
          <w:sz w:val="28"/>
          <w:szCs w:val="28"/>
          <w:highlight w:val="none"/>
          <w:lang w:eastAsia="zh-CN"/>
        </w:rPr>
        <w:t>参选人</w:t>
      </w:r>
      <w:r>
        <w:rPr>
          <w:rFonts w:hint="default" w:ascii="Times New Roman" w:hAnsi="Times New Roman" w:eastAsia="方正仿宋_GBK" w:cs="Times New Roman"/>
          <w:color w:val="auto"/>
          <w:sz w:val="28"/>
          <w:szCs w:val="28"/>
          <w:highlight w:val="none"/>
        </w:rPr>
        <w:t>名称）的法定代表人。</w:t>
      </w:r>
    </w:p>
    <w:p w14:paraId="6014468F">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特此证明。</w:t>
      </w:r>
    </w:p>
    <w:p w14:paraId="7FE958D6">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024E7676">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4B7E42E6">
      <w:pPr>
        <w:keepNext w:val="0"/>
        <w:keepLines w:val="0"/>
        <w:pageBreakBefore w:val="0"/>
        <w:widowControl w:val="0"/>
        <w:kinsoku/>
        <w:wordWrap/>
        <w:overflowPunct/>
        <w:topLinePunct w:val="0"/>
        <w:autoSpaceDE/>
        <w:autoSpaceDN/>
        <w:bidi w:val="0"/>
        <w:adjustRightInd/>
        <w:snapToGrid/>
        <w:spacing w:line="500" w:lineRule="exact"/>
        <w:ind w:firstLine="4480" w:firstLineChars="16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eastAsia="zh-CN"/>
        </w:rPr>
        <w:t>参选人</w:t>
      </w:r>
      <w:r>
        <w:rPr>
          <w:rFonts w:hint="default" w:ascii="Times New Roman" w:hAnsi="Times New Roman" w:eastAsia="方正仿宋_GBK" w:cs="Times New Roman"/>
          <w:color w:val="auto"/>
          <w:sz w:val="28"/>
          <w:szCs w:val="28"/>
          <w:highlight w:val="none"/>
        </w:rPr>
        <w:t>：（盖单位章）</w:t>
      </w:r>
    </w:p>
    <w:p w14:paraId="37F6EF16">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57D33FED">
      <w:pPr>
        <w:keepNext w:val="0"/>
        <w:keepLines w:val="0"/>
        <w:pageBreakBefore w:val="0"/>
        <w:widowControl w:val="0"/>
        <w:kinsoku/>
        <w:wordWrap/>
        <w:overflowPunct/>
        <w:topLinePunct w:val="0"/>
        <w:autoSpaceDE/>
        <w:autoSpaceDN/>
        <w:bidi w:val="0"/>
        <w:adjustRightInd/>
        <w:snapToGrid/>
        <w:spacing w:line="500" w:lineRule="exact"/>
        <w:ind w:firstLine="5320" w:firstLineChars="19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年</w:t>
      </w:r>
      <w:r>
        <w:rPr>
          <w:rFonts w:hint="default" w:ascii="Times New Roman" w:hAnsi="Times New Roman" w:eastAsia="方正仿宋_GBK" w:cs="Times New Roman"/>
          <w:color w:val="auto"/>
          <w:sz w:val="28"/>
          <w:szCs w:val="28"/>
          <w:highlight w:val="none"/>
          <w:lang w:val="en-US" w:eastAsia="zh-CN"/>
        </w:rPr>
        <w:t xml:space="preserve">  </w:t>
      </w:r>
      <w:r>
        <w:rPr>
          <w:rFonts w:hint="default" w:ascii="Times New Roman" w:hAnsi="Times New Roman" w:eastAsia="方正仿宋_GBK" w:cs="Times New Roman"/>
          <w:color w:val="auto"/>
          <w:sz w:val="28"/>
          <w:szCs w:val="28"/>
          <w:highlight w:val="none"/>
        </w:rPr>
        <w:t>月</w:t>
      </w:r>
      <w:r>
        <w:rPr>
          <w:rFonts w:hint="default" w:ascii="Times New Roman" w:hAnsi="Times New Roman" w:eastAsia="方正仿宋_GBK" w:cs="Times New Roman"/>
          <w:color w:val="auto"/>
          <w:sz w:val="28"/>
          <w:szCs w:val="28"/>
          <w:highlight w:val="none"/>
          <w:lang w:val="en-US" w:eastAsia="zh-CN"/>
        </w:rPr>
        <w:t xml:space="preserve">  </w:t>
      </w:r>
      <w:r>
        <w:rPr>
          <w:rFonts w:hint="default" w:ascii="Times New Roman" w:hAnsi="Times New Roman" w:eastAsia="方正仿宋_GBK" w:cs="Times New Roman"/>
          <w:color w:val="auto"/>
          <w:sz w:val="28"/>
          <w:szCs w:val="28"/>
          <w:highlight w:val="none"/>
        </w:rPr>
        <w:t>日</w:t>
      </w:r>
    </w:p>
    <w:p w14:paraId="72777F2B">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mc:AlternateContent>
          <mc:Choice Requires="wps">
            <w:drawing>
              <wp:anchor distT="0" distB="0" distL="114300" distR="114300" simplePos="0" relativeHeight="251660288" behindDoc="0" locked="0" layoutInCell="1" allowOverlap="1">
                <wp:simplePos x="0" y="0"/>
                <wp:positionH relativeFrom="column">
                  <wp:posOffset>840740</wp:posOffset>
                </wp:positionH>
                <wp:positionV relativeFrom="paragraph">
                  <wp:posOffset>6304915</wp:posOffset>
                </wp:positionV>
                <wp:extent cx="2628900" cy="1684020"/>
                <wp:effectExtent l="4445" t="4445" r="14605" b="6985"/>
                <wp:wrapNone/>
                <wp:docPr id="3" name="文本框 3"/>
                <wp:cNvGraphicFramePr/>
                <a:graphic xmlns:a="http://schemas.openxmlformats.org/drawingml/2006/main">
                  <a:graphicData uri="http://schemas.microsoft.com/office/word/2010/wordprocessingShape">
                    <wps:wsp>
                      <wps:cNvSpPr txBox="1"/>
                      <wps:spPr>
                        <a:xfrm>
                          <a:off x="0" y="0"/>
                          <a:ext cx="2628900" cy="16840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C9F4C50">
                            <w:pPr>
                              <w:jc w:val="center"/>
                              <w:rPr>
                                <w:color w:val="FF0000"/>
                              </w:rPr>
                            </w:pPr>
                            <w:r>
                              <w:rPr>
                                <w:rFonts w:hint="eastAsia"/>
                                <w:color w:val="FF0000"/>
                              </w:rPr>
                              <w:t>该处粘贴法定代表人第二代身份证复印件</w:t>
                            </w:r>
                            <w:r>
                              <w:rPr>
                                <w:color w:val="FF0000"/>
                              </w:rPr>
                              <w:t>(</w:t>
                            </w:r>
                            <w:r>
                              <w:rPr>
                                <w:rFonts w:hint="eastAsia"/>
                                <w:color w:val="FF0000"/>
                              </w:rPr>
                              <w:t>双面</w:t>
                            </w:r>
                            <w:r>
                              <w:rPr>
                                <w:color w:val="FF0000"/>
                              </w:rPr>
                              <w:t>)</w:t>
                            </w:r>
                          </w:p>
                          <w:p w14:paraId="1073F995">
                            <w:pPr>
                              <w:rPr>
                                <w:szCs w:val="21"/>
                              </w:rPr>
                            </w:pPr>
                          </w:p>
                        </w:txbxContent>
                      </wps:txbx>
                      <wps:bodyPr upright="1"/>
                    </wps:wsp>
                  </a:graphicData>
                </a:graphic>
              </wp:anchor>
            </w:drawing>
          </mc:Choice>
          <mc:Fallback>
            <w:pict>
              <v:shape id="_x0000_s1026" o:spid="_x0000_s1026" o:spt="202" type="#_x0000_t202" style="position:absolute;left:0pt;margin-left:66.2pt;margin-top:496.45pt;height:132.6pt;width:207pt;z-index:251660288;mso-width-relative:page;mso-height-relative:page;" fillcolor="#FFFFFF" filled="t" stroked="t" coordsize="21600,21600" o:gfxdata="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geChS9oAAAAMAQAADwAA&#10;AAAAAAABACAAAAAiAAAAZHJzL2Rvd25yZXYueG1sUEsBAhQAFAAAAAgAh07iQPTfM/sUAgAARQQA&#10;AA4AAAAAAAAAAQAgAAAAKQEAAGRycy9lMm9Eb2MueG1sUEsFBgAAAAAGAAYAWQEAAK8FAAAAAA==&#10;">
                <v:fill on="t" focussize="0,0"/>
                <v:stroke color="#000000" joinstyle="miter"/>
                <v:imagedata o:title=""/>
                <o:lock v:ext="edit" aspectratio="f"/>
                <v:textbox>
                  <w:txbxContent>
                    <w:p w14:paraId="2C9F4C50">
                      <w:pPr>
                        <w:jc w:val="center"/>
                        <w:rPr>
                          <w:color w:val="FF0000"/>
                        </w:rPr>
                      </w:pPr>
                      <w:r>
                        <w:rPr>
                          <w:rFonts w:hint="eastAsia"/>
                          <w:color w:val="FF0000"/>
                        </w:rPr>
                        <w:t>该处粘贴法定代表人第二代身份证复印件</w:t>
                      </w:r>
                      <w:r>
                        <w:rPr>
                          <w:color w:val="FF0000"/>
                        </w:rPr>
                        <w:t>(</w:t>
                      </w:r>
                      <w:r>
                        <w:rPr>
                          <w:rFonts w:hint="eastAsia"/>
                          <w:color w:val="FF0000"/>
                        </w:rPr>
                        <w:t>双面</w:t>
                      </w:r>
                      <w:r>
                        <w:rPr>
                          <w:color w:val="FF0000"/>
                        </w:rPr>
                        <w:t>)</w:t>
                      </w:r>
                    </w:p>
                    <w:p w14:paraId="1073F995">
                      <w:pPr>
                        <w:rPr>
                          <w:szCs w:val="21"/>
                        </w:rPr>
                      </w:pPr>
                    </w:p>
                  </w:txbxContent>
                </v:textbox>
              </v:shape>
            </w:pict>
          </mc:Fallback>
        </mc:AlternateContent>
      </w:r>
    </w:p>
    <w:tbl>
      <w:tblPr>
        <w:tblStyle w:val="6"/>
        <w:tblpPr w:leftFromText="180" w:rightFromText="180" w:vertAnchor="text" w:horzAnchor="page" w:tblpX="2627" w:tblpY="-87"/>
        <w:tblOverlap w:val="never"/>
        <w:tblW w:w="76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60"/>
        <w:gridCol w:w="840"/>
        <w:gridCol w:w="3465"/>
      </w:tblGrid>
      <w:tr w14:paraId="3FF58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5" w:hRule="atLeast"/>
        </w:trPr>
        <w:tc>
          <w:tcPr>
            <w:tcW w:w="3360" w:type="dxa"/>
            <w:noWrap/>
            <w:vAlign w:val="center"/>
          </w:tcPr>
          <w:p w14:paraId="7B6DBF05">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粘贴法定代表人第二代身份证正面</w:t>
            </w:r>
          </w:p>
        </w:tc>
        <w:tc>
          <w:tcPr>
            <w:tcW w:w="840" w:type="dxa"/>
            <w:tcBorders>
              <w:top w:val="nil"/>
              <w:bottom w:val="nil"/>
            </w:tcBorders>
            <w:noWrap/>
            <w:vAlign w:val="center"/>
          </w:tcPr>
          <w:p w14:paraId="3EA65B3A">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tc>
        <w:tc>
          <w:tcPr>
            <w:tcW w:w="3465" w:type="dxa"/>
            <w:noWrap/>
            <w:vAlign w:val="center"/>
          </w:tcPr>
          <w:p w14:paraId="0BE57DA9">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粘贴法定代表人第二代身份证反面</w:t>
            </w:r>
          </w:p>
        </w:tc>
      </w:tr>
    </w:tbl>
    <w:p w14:paraId="432F52D1">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6D798C29">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0F45863A">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318FBABE">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sectPr>
          <w:headerReference r:id="rId5" w:type="first"/>
          <w:footerReference r:id="rId8" w:type="first"/>
          <w:headerReference r:id="rId3" w:type="default"/>
          <w:footerReference r:id="rId6" w:type="default"/>
          <w:headerReference r:id="rId4" w:type="even"/>
          <w:footerReference r:id="rId7" w:type="even"/>
          <w:pgSz w:w="11907" w:h="16840"/>
          <w:pgMar w:top="1418" w:right="1134" w:bottom="1418" w:left="1474" w:header="851" w:footer="992" w:gutter="0"/>
          <w:pgNumType w:fmt="decimal"/>
          <w:cols w:space="720" w:num="1"/>
          <w:docGrid w:linePitch="312" w:charSpace="0"/>
        </w:sectPr>
      </w:pPr>
      <w:r>
        <w:rPr>
          <w:rFonts w:hint="default" w:ascii="Times New Roman" w:hAnsi="Times New Roman" w:eastAsia="方正仿宋_GBK" w:cs="Times New Roman"/>
          <w:color w:val="auto"/>
          <w:sz w:val="28"/>
          <w:szCs w:val="28"/>
          <w:highlight w:val="none"/>
        </w:rPr>
        <mc:AlternateContent>
          <mc:Choice Requires="wps">
            <w:drawing>
              <wp:anchor distT="0" distB="0" distL="114300" distR="114300" simplePos="0" relativeHeight="251659264" behindDoc="0" locked="0" layoutInCell="1" allowOverlap="1">
                <wp:simplePos x="0" y="0"/>
                <wp:positionH relativeFrom="column">
                  <wp:posOffset>840740</wp:posOffset>
                </wp:positionH>
                <wp:positionV relativeFrom="paragraph">
                  <wp:posOffset>6304915</wp:posOffset>
                </wp:positionV>
                <wp:extent cx="2628900" cy="1684020"/>
                <wp:effectExtent l="4445" t="4445" r="14605" b="6985"/>
                <wp:wrapNone/>
                <wp:docPr id="4" name="文本框 4"/>
                <wp:cNvGraphicFramePr/>
                <a:graphic xmlns:a="http://schemas.openxmlformats.org/drawingml/2006/main">
                  <a:graphicData uri="http://schemas.microsoft.com/office/word/2010/wordprocessingShape">
                    <wps:wsp>
                      <wps:cNvSpPr txBox="1"/>
                      <wps:spPr>
                        <a:xfrm>
                          <a:off x="0" y="0"/>
                          <a:ext cx="2628900" cy="16840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DAEACB5">
                            <w:pPr>
                              <w:jc w:val="center"/>
                              <w:rPr>
                                <w:color w:val="FF0000"/>
                              </w:rPr>
                            </w:pPr>
                            <w:r>
                              <w:rPr>
                                <w:rFonts w:hint="eastAsia"/>
                                <w:color w:val="FF0000"/>
                              </w:rPr>
                              <w:t>该处粘贴法定代表人第二代身份证复印件</w:t>
                            </w:r>
                            <w:r>
                              <w:rPr>
                                <w:color w:val="FF0000"/>
                              </w:rPr>
                              <w:t>(</w:t>
                            </w:r>
                            <w:r>
                              <w:rPr>
                                <w:rFonts w:hint="eastAsia"/>
                                <w:color w:val="FF0000"/>
                              </w:rPr>
                              <w:t>双面</w:t>
                            </w:r>
                            <w:r>
                              <w:rPr>
                                <w:color w:val="FF0000"/>
                              </w:rPr>
                              <w:t>)</w:t>
                            </w:r>
                          </w:p>
                          <w:p w14:paraId="05CDE67B">
                            <w:pPr>
                              <w:rPr>
                                <w:szCs w:val="21"/>
                              </w:rPr>
                            </w:pPr>
                          </w:p>
                        </w:txbxContent>
                      </wps:txbx>
                      <wps:bodyPr upright="1"/>
                    </wps:wsp>
                  </a:graphicData>
                </a:graphic>
              </wp:anchor>
            </w:drawing>
          </mc:Choice>
          <mc:Fallback>
            <w:pict>
              <v:shape id="_x0000_s1026" o:spid="_x0000_s1026" o:spt="202" type="#_x0000_t202" style="position:absolute;left:0pt;margin-left:66.2pt;margin-top:496.45pt;height:132.6pt;width:207pt;z-index:251659264;mso-width-relative:page;mso-height-relative:page;" fillcolor="#FFFFFF" filled="t" stroked="t" coordsize="21600,21600" o:gfxdata="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B4KFL2gAAAAwBAAAPAAAA&#10;AAAAAAEAIAAAACIAAABkcnMvZG93bnJldi54bWxQSwECFAAUAAAACACHTuJApGFMrhMCAABFBAAA&#10;DgAAAAAAAAABACAAAAApAQAAZHJzL2Uyb0RvYy54bWxQSwUGAAAAAAYABgBZAQAArgUAAAAA&#10;">
                <v:fill on="t" focussize="0,0"/>
                <v:stroke color="#000000" joinstyle="miter"/>
                <v:imagedata o:title=""/>
                <o:lock v:ext="edit" aspectratio="f"/>
                <v:textbox>
                  <w:txbxContent>
                    <w:p w14:paraId="2DAEACB5">
                      <w:pPr>
                        <w:jc w:val="center"/>
                        <w:rPr>
                          <w:color w:val="FF0000"/>
                        </w:rPr>
                      </w:pPr>
                      <w:r>
                        <w:rPr>
                          <w:rFonts w:hint="eastAsia"/>
                          <w:color w:val="FF0000"/>
                        </w:rPr>
                        <w:t>该处粘贴法定代表人第二代身份证复印件</w:t>
                      </w:r>
                      <w:r>
                        <w:rPr>
                          <w:color w:val="FF0000"/>
                        </w:rPr>
                        <w:t>(</w:t>
                      </w:r>
                      <w:r>
                        <w:rPr>
                          <w:rFonts w:hint="eastAsia"/>
                          <w:color w:val="FF0000"/>
                        </w:rPr>
                        <w:t>双面</w:t>
                      </w:r>
                      <w:r>
                        <w:rPr>
                          <w:color w:val="FF0000"/>
                        </w:rPr>
                        <w:t>)</w:t>
                      </w:r>
                    </w:p>
                    <w:p w14:paraId="05CDE67B">
                      <w:pPr>
                        <w:rPr>
                          <w:szCs w:val="21"/>
                        </w:rPr>
                      </w:pPr>
                    </w:p>
                  </w:txbxContent>
                </v:textbox>
              </v:shape>
            </w:pict>
          </mc:Fallback>
        </mc:AlternateContent>
      </w:r>
    </w:p>
    <w:p w14:paraId="63F31D6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黑体_GBK" w:cs="Times New Roman"/>
          <w:color w:val="auto"/>
          <w:sz w:val="32"/>
          <w:szCs w:val="32"/>
          <w:highlight w:val="none"/>
          <w:lang w:val="en-US" w:eastAsia="zh-CN"/>
        </w:rPr>
        <w:t>授权委托书</w:t>
      </w:r>
    </w:p>
    <w:p w14:paraId="03167B01">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auto"/>
          <w:sz w:val="28"/>
          <w:szCs w:val="28"/>
          <w:highlight w:val="none"/>
        </w:rPr>
      </w:pPr>
    </w:p>
    <w:p w14:paraId="14AB845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本人（姓名）系（</w:t>
      </w:r>
      <w:r>
        <w:rPr>
          <w:rFonts w:hint="default" w:ascii="Times New Roman" w:hAnsi="Times New Roman" w:eastAsia="方正仿宋_GBK" w:cs="Times New Roman"/>
          <w:color w:val="auto"/>
          <w:sz w:val="24"/>
          <w:szCs w:val="24"/>
          <w:highlight w:val="none"/>
          <w:lang w:eastAsia="zh-CN"/>
        </w:rPr>
        <w:t>参选</w:t>
      </w:r>
      <w:r>
        <w:rPr>
          <w:rFonts w:hint="default" w:ascii="Times New Roman" w:hAnsi="Times New Roman" w:eastAsia="方正仿宋_GBK" w:cs="Times New Roman"/>
          <w:color w:val="auto"/>
          <w:sz w:val="24"/>
          <w:szCs w:val="24"/>
          <w:highlight w:val="none"/>
        </w:rPr>
        <w:t>人名称）的法定代表人，现委托（姓名）为我方代理人。代理人根据授权，以我方名义签署、澄清、说明、补正、递交、撤回、修改（项目名称）投标文件、签订合同和处理有关事宜，其法律后果由我方承担。</w:t>
      </w:r>
    </w:p>
    <w:p w14:paraId="796E2A9F">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委托期限：</w:t>
      </w:r>
    </w:p>
    <w:p w14:paraId="68BC44F2">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代理人无转委托权。</w:t>
      </w:r>
    </w:p>
    <w:p w14:paraId="2AE1F45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附：法定代表人身份证</w:t>
      </w:r>
    </w:p>
    <w:p w14:paraId="7C0BED93">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auto"/>
          <w:sz w:val="24"/>
          <w:szCs w:val="24"/>
          <w:highlight w:val="none"/>
        </w:rPr>
      </w:pPr>
    </w:p>
    <w:tbl>
      <w:tblPr>
        <w:tblStyle w:val="6"/>
        <w:tblpPr w:leftFromText="180" w:rightFromText="180" w:vertAnchor="text" w:horzAnchor="margin" w:tblpXSpec="right" w:tblpY="264"/>
        <w:tblW w:w="4080" w:type="dxa"/>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4080"/>
      </w:tblGrid>
      <w:tr w14:paraId="0E8FE357">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4268" w:hRule="atLeast"/>
        </w:trPr>
        <w:tc>
          <w:tcPr>
            <w:tcW w:w="4080" w:type="dxa"/>
            <w:tcBorders>
              <w:top w:val="dotDotDash" w:color="auto" w:sz="4" w:space="0"/>
              <w:left w:val="dotDotDash" w:color="auto" w:sz="4" w:space="0"/>
              <w:bottom w:val="dotDotDash" w:color="auto" w:sz="4" w:space="0"/>
              <w:right w:val="dotDotDash" w:color="auto" w:sz="4" w:space="0"/>
            </w:tcBorders>
            <w:noWrap/>
            <w:vAlign w:val="top"/>
          </w:tcPr>
          <w:p w14:paraId="58C2EA90">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该处粘贴委托代理人第二代身份证复印件正反面</w:t>
            </w:r>
          </w:p>
          <w:p w14:paraId="0F46CD36">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auto"/>
                <w:sz w:val="24"/>
                <w:szCs w:val="24"/>
                <w:highlight w:val="none"/>
              </w:rPr>
            </w:pPr>
          </w:p>
          <w:p w14:paraId="0EA50277">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auto"/>
                <w:sz w:val="24"/>
                <w:szCs w:val="24"/>
                <w:highlight w:val="none"/>
              </w:rPr>
            </w:pPr>
          </w:p>
          <w:p w14:paraId="0550E3E2">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auto"/>
                <w:sz w:val="24"/>
                <w:szCs w:val="24"/>
                <w:highlight w:val="none"/>
              </w:rPr>
            </w:pPr>
          </w:p>
          <w:p w14:paraId="29B0CE85">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auto"/>
                <w:sz w:val="24"/>
                <w:szCs w:val="24"/>
                <w:highlight w:val="none"/>
              </w:rPr>
            </w:pPr>
          </w:p>
        </w:tc>
      </w:tr>
    </w:tbl>
    <w:tbl>
      <w:tblPr>
        <w:tblStyle w:val="6"/>
        <w:tblpPr w:leftFromText="180" w:rightFromText="180" w:vertAnchor="text" w:horzAnchor="page" w:tblpX="1831" w:tblpY="298"/>
        <w:tblW w:w="3900" w:type="dxa"/>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900"/>
      </w:tblGrid>
      <w:tr w14:paraId="0892F51D">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4222" w:hRule="atLeast"/>
        </w:trPr>
        <w:tc>
          <w:tcPr>
            <w:tcW w:w="3900" w:type="dxa"/>
            <w:tcBorders>
              <w:top w:val="dotDotDash" w:color="auto" w:sz="4" w:space="0"/>
              <w:left w:val="dotDotDash" w:color="auto" w:sz="4" w:space="0"/>
              <w:bottom w:val="dotDotDash" w:color="auto" w:sz="4" w:space="0"/>
              <w:right w:val="dotDotDash" w:color="auto" w:sz="4" w:space="0"/>
            </w:tcBorders>
            <w:noWrap/>
            <w:vAlign w:val="top"/>
          </w:tcPr>
          <w:p w14:paraId="3E3E11E1">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该处粘贴法定代表人第二代身份证复印件正反面</w:t>
            </w:r>
          </w:p>
          <w:p w14:paraId="535F4D28">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auto"/>
                <w:sz w:val="24"/>
                <w:szCs w:val="24"/>
                <w:highlight w:val="none"/>
              </w:rPr>
            </w:pPr>
          </w:p>
          <w:p w14:paraId="50AFADE4">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auto"/>
                <w:sz w:val="24"/>
                <w:szCs w:val="24"/>
                <w:highlight w:val="none"/>
              </w:rPr>
            </w:pPr>
          </w:p>
          <w:p w14:paraId="55A321AE">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auto"/>
                <w:sz w:val="24"/>
                <w:szCs w:val="24"/>
                <w:highlight w:val="none"/>
              </w:rPr>
            </w:pPr>
          </w:p>
          <w:p w14:paraId="5D0E803D">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auto"/>
                <w:sz w:val="24"/>
                <w:szCs w:val="24"/>
                <w:highlight w:val="none"/>
              </w:rPr>
            </w:pPr>
          </w:p>
        </w:tc>
      </w:tr>
    </w:tbl>
    <w:p w14:paraId="28983F77">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auto"/>
          <w:sz w:val="24"/>
          <w:szCs w:val="24"/>
          <w:highlight w:val="none"/>
        </w:rPr>
      </w:pPr>
    </w:p>
    <w:p w14:paraId="1DFA8610">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 xml:space="preserve">                </w:t>
      </w:r>
      <w:r>
        <w:rPr>
          <w:rFonts w:hint="default" w:ascii="Times New Roman" w:hAnsi="Times New Roman" w:eastAsia="方正仿宋_GBK" w:cs="Times New Roman"/>
          <w:color w:val="auto"/>
          <w:sz w:val="24"/>
          <w:szCs w:val="24"/>
          <w:highlight w:val="none"/>
          <w:lang w:eastAsia="zh-CN"/>
        </w:rPr>
        <w:t>参选</w:t>
      </w:r>
      <w:r>
        <w:rPr>
          <w:rFonts w:hint="default" w:ascii="Times New Roman" w:hAnsi="Times New Roman" w:eastAsia="方正仿宋_GBK" w:cs="Times New Roman"/>
          <w:color w:val="auto"/>
          <w:sz w:val="24"/>
          <w:szCs w:val="24"/>
          <w:highlight w:val="none"/>
        </w:rPr>
        <w:t>人：（盖单位章）</w:t>
      </w:r>
    </w:p>
    <w:p w14:paraId="142A6A63">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法定代表人：（签字）</w:t>
      </w:r>
    </w:p>
    <w:p w14:paraId="302331C5">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auto"/>
          <w:sz w:val="24"/>
          <w:szCs w:val="24"/>
          <w:highlight w:val="none"/>
          <w:lang w:eastAsia="zh-CN"/>
        </w:rPr>
      </w:pPr>
      <w:r>
        <w:rPr>
          <w:rFonts w:hint="default" w:ascii="Times New Roman" w:hAnsi="Times New Roman" w:eastAsia="方正仿宋_GBK" w:cs="Times New Roman"/>
          <w:color w:val="auto"/>
          <w:sz w:val="24"/>
          <w:szCs w:val="24"/>
          <w:highlight w:val="none"/>
        </w:rPr>
        <w:t>身份证号码：</w:t>
      </w:r>
    </w:p>
    <w:p w14:paraId="673D4CB2">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委托代理人：（签字）</w:t>
      </w:r>
    </w:p>
    <w:p w14:paraId="1A370B42">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身份证号码：</w:t>
      </w:r>
    </w:p>
    <w:p w14:paraId="6181D011">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年月日</w:t>
      </w:r>
    </w:p>
    <w:p w14:paraId="3769495A">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auto"/>
          <w:sz w:val="24"/>
          <w:szCs w:val="24"/>
          <w:highlight w:val="none"/>
        </w:rPr>
      </w:pPr>
    </w:p>
    <w:p w14:paraId="7026BD3A">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注：1</w:t>
      </w:r>
      <w:r>
        <w:rPr>
          <w:rFonts w:hint="default" w:ascii="Times New Roman" w:hAnsi="Times New Roman" w:eastAsia="方正仿宋_GBK" w:cs="Times New Roman"/>
          <w:color w:val="auto"/>
          <w:sz w:val="24"/>
          <w:szCs w:val="24"/>
          <w:highlight w:val="none"/>
          <w:lang w:val="en-US" w:eastAsia="zh-CN"/>
        </w:rPr>
        <w:t>.</w:t>
      </w:r>
      <w:r>
        <w:rPr>
          <w:rFonts w:hint="default" w:ascii="Times New Roman" w:hAnsi="Times New Roman" w:eastAsia="方正仿宋_GBK" w:cs="Times New Roman"/>
          <w:color w:val="auto"/>
          <w:sz w:val="24"/>
          <w:szCs w:val="24"/>
          <w:highlight w:val="none"/>
        </w:rPr>
        <w:t>法定代表人参加投标活动并签署文件的不需要授权委托书，只需提供法定代表人身份证明；非法定代表人参加投标活动及签署文件的除提供法定代表人身份证明外还须提供授权委托书。</w:t>
      </w:r>
    </w:p>
    <w:p w14:paraId="2A5BE36E">
      <w:pPr>
        <w:keepNext w:val="0"/>
        <w:keepLines w:val="0"/>
        <w:pageBreakBefore w:val="0"/>
        <w:widowControl w:val="0"/>
        <w:numPr>
          <w:ilvl w:val="0"/>
          <w:numId w:val="1"/>
        </w:numPr>
        <w:kinsoku/>
        <w:wordWrap/>
        <w:overflowPunct/>
        <w:topLinePunct w:val="0"/>
        <w:autoSpaceDE/>
        <w:autoSpaceDN/>
        <w:bidi w:val="0"/>
        <w:adjustRightInd/>
        <w:snapToGrid/>
        <w:spacing w:line="360" w:lineRule="exact"/>
        <w:ind w:firstLine="480" w:firstLineChars="20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法定代表人身份证明及授权委托书原件装入投标文件一并递交。同时开标时还须手执原件。</w:t>
      </w:r>
    </w:p>
    <w:p w14:paraId="426E239D">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_GBK" w:cs="Times New Roman"/>
          <w:color w:val="auto"/>
          <w:sz w:val="24"/>
          <w:szCs w:val="24"/>
          <w:highlight w:val="none"/>
        </w:rPr>
      </w:pPr>
    </w:p>
    <w:p w14:paraId="2624B285">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360" w:lineRule="exact"/>
        <w:jc w:val="both"/>
        <w:textAlignment w:val="auto"/>
        <w:rPr>
          <w:rFonts w:hint="default" w:ascii="Times New Roman" w:hAnsi="Times New Roman" w:eastAsia="方正仿宋_GBK" w:cs="Times New Roman"/>
          <w:color w:val="auto"/>
          <w:sz w:val="24"/>
          <w:szCs w:val="24"/>
          <w:highlight w:val="none"/>
        </w:rPr>
      </w:pPr>
    </w:p>
    <w:p w14:paraId="0954A98F">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default" w:ascii="Times New Roman" w:hAnsi="Times New Roman" w:eastAsia="方正仿宋_GBK" w:cs="Times New Roman"/>
          <w:color w:val="auto"/>
          <w:sz w:val="24"/>
          <w:szCs w:val="24"/>
          <w:highlight w:val="none"/>
        </w:rPr>
      </w:pPr>
    </w:p>
    <w:p w14:paraId="2133F8D2">
      <w:pPr>
        <w:ind w:firstLine="640" w:firstLineChars="200"/>
        <w:jc w:val="center"/>
        <w:rPr>
          <w:rFonts w:hint="default" w:ascii="Times New Roman" w:hAnsi="Times New Roman" w:eastAsia="方正黑体_GBK" w:cs="Times New Roman"/>
          <w:color w:val="auto"/>
          <w:sz w:val="32"/>
          <w:szCs w:val="20"/>
          <w:highlight w:val="none"/>
        </w:rPr>
      </w:pPr>
    </w:p>
    <w:p w14:paraId="34F6465B">
      <w:pPr>
        <w:jc w:val="center"/>
        <w:rPr>
          <w:rFonts w:hint="default" w:ascii="Times New Roman" w:hAnsi="Times New Roman" w:eastAsia="方正黑体_GBK" w:cs="Times New Roman"/>
          <w:color w:val="auto"/>
          <w:sz w:val="32"/>
          <w:szCs w:val="20"/>
          <w:highlight w:val="none"/>
        </w:rPr>
      </w:pPr>
      <w:r>
        <w:rPr>
          <w:rFonts w:hint="eastAsia" w:ascii="Times New Roman" w:hAnsi="Times New Roman" w:eastAsia="方正黑体_GBK" w:cs="Times New Roman"/>
          <w:color w:val="auto"/>
          <w:sz w:val="32"/>
          <w:szCs w:val="20"/>
          <w:highlight w:val="none"/>
          <w:lang w:val="en-US" w:eastAsia="zh-CN"/>
        </w:rPr>
        <w:t>阿依河接待中心舞台频显系统提升工程</w:t>
      </w:r>
      <w:r>
        <w:rPr>
          <w:rFonts w:hint="default" w:ascii="Times New Roman" w:hAnsi="Times New Roman" w:eastAsia="方正黑体_GBK" w:cs="Times New Roman"/>
          <w:color w:val="auto"/>
          <w:sz w:val="32"/>
          <w:szCs w:val="20"/>
          <w:highlight w:val="none"/>
        </w:rPr>
        <w:t>报价</w:t>
      </w:r>
      <w:r>
        <w:rPr>
          <w:rFonts w:hint="eastAsia" w:ascii="Times New Roman" w:hAnsi="Times New Roman" w:eastAsia="方正黑体_GBK" w:cs="Times New Roman"/>
          <w:color w:val="auto"/>
          <w:sz w:val="32"/>
          <w:szCs w:val="20"/>
          <w:highlight w:val="none"/>
          <w:lang w:val="en-US" w:eastAsia="zh-CN"/>
        </w:rPr>
        <w:t>清单</w:t>
      </w:r>
    </w:p>
    <w:p w14:paraId="533F7068">
      <w:pPr>
        <w:jc w:val="both"/>
        <w:rPr>
          <w:rFonts w:hint="eastAsia" w:ascii="Times New Roman" w:hAnsi="Times New Roman" w:eastAsia="方正黑体_GBK" w:cs="Times New Roman"/>
          <w:color w:val="auto"/>
          <w:sz w:val="32"/>
          <w:szCs w:val="20"/>
          <w:highlight w:val="none"/>
          <w:lang w:eastAsia="zh-CN"/>
        </w:rPr>
      </w:pPr>
      <w:r>
        <w:rPr>
          <w:rFonts w:hint="eastAsia" w:ascii="Times New Roman" w:hAnsi="Times New Roman" w:eastAsia="方正黑体_GBK" w:cs="Times New Roman"/>
          <w:color w:val="auto"/>
          <w:sz w:val="32"/>
          <w:szCs w:val="20"/>
          <w:highlight w:val="none"/>
          <w:lang w:eastAsia="zh-CN"/>
        </w:rPr>
        <w:t>（</w:t>
      </w:r>
      <w:r>
        <w:rPr>
          <w:rFonts w:hint="default" w:ascii="Times New Roman" w:hAnsi="Times New Roman" w:eastAsia="方正仿宋_GBK" w:cs="Times New Roman"/>
          <w:color w:val="auto"/>
          <w:kern w:val="2"/>
          <w:sz w:val="28"/>
          <w:szCs w:val="28"/>
          <w:highlight w:val="none"/>
          <w:lang w:val="en-US" w:eastAsia="zh-CN" w:bidi="ar-SA"/>
        </w:rPr>
        <w:t>具体</w:t>
      </w:r>
      <w:r>
        <w:rPr>
          <w:rFonts w:hint="eastAsia" w:ascii="Times New Roman" w:hAnsi="Times New Roman" w:eastAsia="方正仿宋_GBK" w:cs="Times New Roman"/>
          <w:color w:val="auto"/>
          <w:kern w:val="2"/>
          <w:sz w:val="28"/>
          <w:szCs w:val="28"/>
          <w:highlight w:val="none"/>
          <w:lang w:val="en-US" w:eastAsia="zh-CN" w:bidi="ar-SA"/>
        </w:rPr>
        <w:t>清单</w:t>
      </w:r>
      <w:r>
        <w:rPr>
          <w:rFonts w:hint="default" w:ascii="Times New Roman" w:hAnsi="Times New Roman" w:eastAsia="方正仿宋_GBK" w:cs="Times New Roman"/>
          <w:color w:val="auto"/>
          <w:kern w:val="2"/>
          <w:sz w:val="28"/>
          <w:szCs w:val="28"/>
          <w:highlight w:val="none"/>
          <w:lang w:val="en-US" w:eastAsia="zh-CN" w:bidi="ar-SA"/>
        </w:rPr>
        <w:t>详见附件《</w:t>
      </w:r>
      <w:r>
        <w:rPr>
          <w:rFonts w:hint="eastAsia" w:ascii="Times New Roman" w:hAnsi="Times New Roman" w:eastAsia="方正仿宋_GBK" w:cs="Times New Roman"/>
          <w:b w:val="0"/>
          <w:bCs w:val="0"/>
          <w:color w:val="auto"/>
          <w:sz w:val="28"/>
          <w:szCs w:val="28"/>
          <w:highlight w:val="none"/>
          <w:lang w:val="en-US" w:eastAsia="zh-CN"/>
        </w:rPr>
        <w:t>阿依河接待中心舞台频显系统提升工程</w:t>
      </w:r>
      <w:r>
        <w:rPr>
          <w:rFonts w:hint="default" w:ascii="Times New Roman" w:hAnsi="Times New Roman" w:eastAsia="方正仿宋_GBK" w:cs="Times New Roman"/>
          <w:color w:val="auto"/>
          <w:kern w:val="2"/>
          <w:sz w:val="28"/>
          <w:szCs w:val="28"/>
          <w:highlight w:val="none"/>
          <w:lang w:val="en-US" w:eastAsia="zh-CN" w:bidi="ar-SA"/>
        </w:rPr>
        <w:t>招标工程量清单</w:t>
      </w:r>
      <w:r>
        <w:rPr>
          <w:rFonts w:hint="eastAsia" w:ascii="Times New Roman" w:hAnsi="Times New Roman" w:eastAsia="方正仿宋_GBK" w:cs="Times New Roman"/>
          <w:color w:val="auto"/>
          <w:kern w:val="2"/>
          <w:sz w:val="28"/>
          <w:szCs w:val="28"/>
          <w:highlight w:val="none"/>
          <w:lang w:val="en-US" w:eastAsia="zh-CN" w:bidi="ar-SA"/>
        </w:rPr>
        <w:t>、</w:t>
      </w:r>
      <w:r>
        <w:rPr>
          <w:rFonts w:hint="eastAsia" w:ascii="Times New Roman" w:hAnsi="Times New Roman" w:eastAsia="方正仿宋_GBK" w:cs="Times New Roman"/>
          <w:b w:val="0"/>
          <w:bCs w:val="0"/>
          <w:color w:val="auto"/>
          <w:sz w:val="28"/>
          <w:szCs w:val="28"/>
          <w:highlight w:val="none"/>
          <w:lang w:val="en-US" w:eastAsia="zh-CN"/>
        </w:rPr>
        <w:t>阿依河接待中心舞台频显系统提升工程</w:t>
      </w:r>
      <w:r>
        <w:rPr>
          <w:rFonts w:hint="default" w:ascii="Times New Roman" w:hAnsi="Times New Roman" w:eastAsia="方正仿宋_GBK" w:cs="Times New Roman"/>
          <w:color w:val="auto"/>
          <w:kern w:val="2"/>
          <w:sz w:val="28"/>
          <w:szCs w:val="28"/>
          <w:highlight w:val="none"/>
          <w:lang w:val="en-US" w:eastAsia="zh-CN" w:bidi="ar-SA"/>
        </w:rPr>
        <w:t>最高限价表》</w:t>
      </w:r>
      <w:r>
        <w:rPr>
          <w:rFonts w:hint="eastAsia" w:ascii="Times New Roman" w:hAnsi="Times New Roman" w:eastAsia="方正黑体_GBK" w:cs="Times New Roman"/>
          <w:color w:val="auto"/>
          <w:sz w:val="32"/>
          <w:szCs w:val="20"/>
          <w:highlight w:val="none"/>
          <w:lang w:eastAsia="zh-CN"/>
        </w:rPr>
        <w:t>）</w:t>
      </w:r>
    </w:p>
    <w:p w14:paraId="5DCCE9AA">
      <w:pPr>
        <w:ind w:firstLine="640" w:firstLineChars="200"/>
        <w:jc w:val="center"/>
        <w:rPr>
          <w:rFonts w:hint="default" w:ascii="Times New Roman" w:hAnsi="Times New Roman" w:eastAsia="方正黑体_GBK" w:cs="Times New Roman"/>
          <w:color w:val="auto"/>
          <w:sz w:val="32"/>
          <w:szCs w:val="20"/>
          <w:highlight w:val="none"/>
        </w:rPr>
      </w:pPr>
    </w:p>
    <w:p w14:paraId="3AB27B8B">
      <w:pPr>
        <w:ind w:firstLine="640" w:firstLineChars="200"/>
        <w:jc w:val="center"/>
        <w:rPr>
          <w:rFonts w:hint="default" w:ascii="Times New Roman" w:hAnsi="Times New Roman" w:eastAsia="方正黑体_GBK" w:cs="Times New Roman"/>
          <w:color w:val="auto"/>
          <w:sz w:val="32"/>
          <w:szCs w:val="20"/>
          <w:highlight w:val="none"/>
        </w:rPr>
      </w:pPr>
    </w:p>
    <w:p w14:paraId="6DF315E5">
      <w:pPr>
        <w:ind w:firstLine="640" w:firstLineChars="200"/>
        <w:jc w:val="center"/>
        <w:rPr>
          <w:rFonts w:hint="default" w:ascii="Times New Roman" w:hAnsi="Times New Roman" w:eastAsia="方正黑体_GBK" w:cs="Times New Roman"/>
          <w:color w:val="auto"/>
          <w:sz w:val="32"/>
          <w:szCs w:val="20"/>
          <w:highlight w:val="none"/>
        </w:rPr>
      </w:pPr>
    </w:p>
    <w:p w14:paraId="56845B73">
      <w:pPr>
        <w:ind w:firstLine="640" w:firstLineChars="200"/>
        <w:jc w:val="center"/>
        <w:rPr>
          <w:rFonts w:hint="default" w:ascii="Times New Roman" w:hAnsi="Times New Roman" w:eastAsia="方正黑体_GBK" w:cs="Times New Roman"/>
          <w:color w:val="auto"/>
          <w:sz w:val="32"/>
          <w:szCs w:val="20"/>
          <w:highlight w:val="none"/>
        </w:rPr>
      </w:pPr>
    </w:p>
    <w:p w14:paraId="46B03873">
      <w:pPr>
        <w:ind w:firstLine="640" w:firstLineChars="200"/>
        <w:jc w:val="center"/>
        <w:rPr>
          <w:rFonts w:hint="default" w:ascii="Times New Roman" w:hAnsi="Times New Roman" w:eastAsia="方正黑体_GBK" w:cs="Times New Roman"/>
          <w:color w:val="auto"/>
          <w:sz w:val="32"/>
          <w:szCs w:val="20"/>
          <w:highlight w:val="none"/>
        </w:rPr>
      </w:pPr>
    </w:p>
    <w:p w14:paraId="53F62AC9">
      <w:pPr>
        <w:ind w:firstLine="640" w:firstLineChars="200"/>
        <w:jc w:val="center"/>
        <w:rPr>
          <w:rFonts w:hint="default" w:ascii="Times New Roman" w:hAnsi="Times New Roman" w:eastAsia="方正黑体_GBK" w:cs="Times New Roman"/>
          <w:color w:val="auto"/>
          <w:sz w:val="32"/>
          <w:szCs w:val="20"/>
          <w:highlight w:val="none"/>
        </w:rPr>
      </w:pPr>
    </w:p>
    <w:p w14:paraId="746A709F">
      <w:pPr>
        <w:ind w:firstLine="640" w:firstLineChars="200"/>
        <w:jc w:val="center"/>
        <w:rPr>
          <w:rFonts w:hint="default" w:ascii="Times New Roman" w:hAnsi="Times New Roman" w:eastAsia="方正黑体_GBK" w:cs="Times New Roman"/>
          <w:color w:val="auto"/>
          <w:sz w:val="32"/>
          <w:szCs w:val="20"/>
          <w:highlight w:val="none"/>
        </w:rPr>
      </w:pPr>
    </w:p>
    <w:p w14:paraId="56EA4336">
      <w:pPr>
        <w:ind w:firstLine="640" w:firstLineChars="200"/>
        <w:jc w:val="center"/>
        <w:rPr>
          <w:rFonts w:hint="default" w:ascii="Times New Roman" w:hAnsi="Times New Roman" w:eastAsia="方正黑体_GBK" w:cs="Times New Roman"/>
          <w:color w:val="auto"/>
          <w:sz w:val="32"/>
          <w:szCs w:val="20"/>
          <w:highlight w:val="none"/>
        </w:rPr>
      </w:pPr>
    </w:p>
    <w:p w14:paraId="6B21DE1A">
      <w:pPr>
        <w:ind w:firstLine="640" w:firstLineChars="200"/>
        <w:jc w:val="center"/>
        <w:rPr>
          <w:rFonts w:hint="default" w:ascii="Times New Roman" w:hAnsi="Times New Roman" w:eastAsia="方正黑体_GBK" w:cs="Times New Roman"/>
          <w:color w:val="auto"/>
          <w:sz w:val="32"/>
          <w:szCs w:val="20"/>
          <w:highlight w:val="none"/>
        </w:rPr>
      </w:pPr>
    </w:p>
    <w:p w14:paraId="3325BB64">
      <w:pPr>
        <w:ind w:firstLine="640" w:firstLineChars="200"/>
        <w:jc w:val="center"/>
        <w:rPr>
          <w:rFonts w:hint="default" w:ascii="Times New Roman" w:hAnsi="Times New Roman" w:eastAsia="方正黑体_GBK" w:cs="Times New Roman"/>
          <w:color w:val="auto"/>
          <w:sz w:val="32"/>
          <w:szCs w:val="20"/>
          <w:highlight w:val="none"/>
        </w:rPr>
      </w:pPr>
    </w:p>
    <w:p w14:paraId="0BD1A8B8">
      <w:pPr>
        <w:ind w:firstLine="640" w:firstLineChars="200"/>
        <w:jc w:val="center"/>
        <w:rPr>
          <w:rFonts w:hint="default" w:ascii="Times New Roman" w:hAnsi="Times New Roman" w:eastAsia="方正黑体_GBK" w:cs="Times New Roman"/>
          <w:color w:val="auto"/>
          <w:sz w:val="32"/>
          <w:szCs w:val="20"/>
          <w:highlight w:val="none"/>
        </w:rPr>
      </w:pPr>
    </w:p>
    <w:p w14:paraId="2D4B500C">
      <w:pPr>
        <w:ind w:firstLine="640" w:firstLineChars="200"/>
        <w:jc w:val="center"/>
        <w:rPr>
          <w:rFonts w:hint="default" w:ascii="Times New Roman" w:hAnsi="Times New Roman" w:eastAsia="方正黑体_GBK" w:cs="Times New Roman"/>
          <w:color w:val="auto"/>
          <w:sz w:val="32"/>
          <w:szCs w:val="20"/>
          <w:highlight w:val="none"/>
        </w:rPr>
      </w:pPr>
    </w:p>
    <w:p w14:paraId="3B22B8EB">
      <w:pPr>
        <w:ind w:firstLine="640" w:firstLineChars="200"/>
        <w:jc w:val="center"/>
        <w:rPr>
          <w:rFonts w:hint="default" w:ascii="Times New Roman" w:hAnsi="Times New Roman" w:eastAsia="方正黑体_GBK" w:cs="Times New Roman"/>
          <w:color w:val="auto"/>
          <w:sz w:val="32"/>
          <w:szCs w:val="20"/>
          <w:highlight w:val="none"/>
        </w:rPr>
      </w:pPr>
    </w:p>
    <w:p w14:paraId="6405BB0C">
      <w:pPr>
        <w:ind w:firstLine="640" w:firstLineChars="200"/>
        <w:jc w:val="center"/>
        <w:rPr>
          <w:rFonts w:hint="default" w:ascii="Times New Roman" w:hAnsi="Times New Roman" w:eastAsia="方正黑体_GBK" w:cs="Times New Roman"/>
          <w:color w:val="auto"/>
          <w:sz w:val="32"/>
          <w:szCs w:val="20"/>
          <w:highlight w:val="none"/>
        </w:rPr>
      </w:pPr>
    </w:p>
    <w:p w14:paraId="6F32F059">
      <w:pPr>
        <w:ind w:firstLine="640" w:firstLineChars="200"/>
        <w:jc w:val="center"/>
        <w:rPr>
          <w:rFonts w:hint="default" w:ascii="Times New Roman" w:hAnsi="Times New Roman" w:eastAsia="方正黑体_GBK" w:cs="Times New Roman"/>
          <w:color w:val="auto"/>
          <w:sz w:val="32"/>
          <w:szCs w:val="20"/>
          <w:highlight w:val="none"/>
        </w:rPr>
      </w:pPr>
    </w:p>
    <w:p w14:paraId="0120CD4D">
      <w:pPr>
        <w:ind w:firstLine="640" w:firstLineChars="200"/>
        <w:jc w:val="center"/>
        <w:rPr>
          <w:rFonts w:hint="default" w:ascii="Times New Roman" w:hAnsi="Times New Roman" w:eastAsia="方正黑体_GBK" w:cs="Times New Roman"/>
          <w:color w:val="auto"/>
          <w:sz w:val="32"/>
          <w:szCs w:val="20"/>
          <w:highlight w:val="none"/>
        </w:rPr>
      </w:pPr>
    </w:p>
    <w:p w14:paraId="4AD4E6EC">
      <w:pPr>
        <w:ind w:firstLine="640" w:firstLineChars="200"/>
        <w:jc w:val="center"/>
        <w:rPr>
          <w:rFonts w:hint="default" w:ascii="Times New Roman" w:hAnsi="Times New Roman" w:eastAsia="方正黑体_GBK" w:cs="Times New Roman"/>
          <w:color w:val="auto"/>
          <w:sz w:val="32"/>
          <w:szCs w:val="20"/>
          <w:highlight w:val="none"/>
        </w:rPr>
      </w:pPr>
    </w:p>
    <w:p w14:paraId="740D7588">
      <w:pPr>
        <w:ind w:firstLine="640" w:firstLineChars="200"/>
        <w:jc w:val="center"/>
        <w:rPr>
          <w:rFonts w:hint="default" w:ascii="Times New Roman" w:hAnsi="Times New Roman" w:eastAsia="方正黑体_GBK" w:cs="Times New Roman"/>
          <w:color w:val="auto"/>
          <w:sz w:val="32"/>
          <w:szCs w:val="20"/>
          <w:highlight w:val="none"/>
        </w:rPr>
      </w:pPr>
    </w:p>
    <w:p w14:paraId="2A0B3B18">
      <w:pPr>
        <w:ind w:firstLine="640" w:firstLineChars="200"/>
        <w:jc w:val="center"/>
        <w:rPr>
          <w:rFonts w:hint="default" w:ascii="Times New Roman" w:hAnsi="Times New Roman" w:eastAsia="方正黑体_GBK" w:cs="Times New Roman"/>
          <w:color w:val="auto"/>
          <w:sz w:val="32"/>
          <w:szCs w:val="20"/>
          <w:highlight w:val="none"/>
        </w:rPr>
      </w:pPr>
    </w:p>
    <w:p w14:paraId="0DC28C81">
      <w:pPr>
        <w:ind w:firstLine="640" w:firstLineChars="200"/>
        <w:jc w:val="center"/>
        <w:rPr>
          <w:rFonts w:hint="default" w:ascii="Times New Roman" w:hAnsi="Times New Roman" w:eastAsia="方正黑体_GBK" w:cs="Times New Roman"/>
          <w:color w:val="auto"/>
          <w:sz w:val="32"/>
          <w:szCs w:val="20"/>
          <w:highlight w:val="none"/>
        </w:rPr>
      </w:pPr>
    </w:p>
    <w:p w14:paraId="17ADD5A5">
      <w:pPr>
        <w:ind w:firstLine="640" w:firstLineChars="200"/>
        <w:jc w:val="center"/>
        <w:rPr>
          <w:rFonts w:hint="default" w:ascii="Times New Roman" w:hAnsi="Times New Roman" w:eastAsia="方正黑体_GBK" w:cs="Times New Roman"/>
          <w:color w:val="auto"/>
          <w:sz w:val="32"/>
          <w:szCs w:val="20"/>
          <w:highlight w:val="none"/>
        </w:rPr>
      </w:pPr>
      <w:r>
        <w:rPr>
          <w:rFonts w:hint="default" w:ascii="Times New Roman" w:hAnsi="Times New Roman" w:eastAsia="方正黑体_GBK" w:cs="Times New Roman"/>
          <w:color w:val="auto"/>
          <w:sz w:val="32"/>
          <w:szCs w:val="20"/>
          <w:highlight w:val="none"/>
        </w:rPr>
        <w:t>诚信声明</w:t>
      </w:r>
    </w:p>
    <w:p w14:paraId="0DBD5C4E">
      <w:pPr>
        <w:ind w:firstLine="640" w:firstLineChars="200"/>
        <w:jc w:val="center"/>
        <w:rPr>
          <w:rFonts w:hint="default" w:ascii="Times New Roman" w:hAnsi="Times New Roman" w:eastAsia="方正黑体_GBK" w:cs="Times New Roman"/>
          <w:color w:val="auto"/>
          <w:sz w:val="32"/>
          <w:szCs w:val="20"/>
          <w:highlight w:val="none"/>
        </w:rPr>
      </w:pPr>
    </w:p>
    <w:p w14:paraId="0FB7A1BE">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重庆乌江画廊旅游开发有限公司</w:t>
      </w:r>
      <w:r>
        <w:rPr>
          <w:rFonts w:hint="default" w:ascii="Times New Roman" w:hAnsi="Times New Roman" w:eastAsia="方正仿宋_GBK" w:cs="Times New Roman"/>
          <w:color w:val="auto"/>
          <w:sz w:val="28"/>
          <w:szCs w:val="28"/>
          <w:highlight w:val="none"/>
          <w:lang w:val="en-US" w:eastAsia="zh-CN"/>
        </w:rPr>
        <w:t>阿依河分公司</w:t>
      </w:r>
      <w:r>
        <w:rPr>
          <w:rFonts w:hint="default" w:ascii="Times New Roman" w:hAnsi="Times New Roman" w:eastAsia="方正仿宋_GBK" w:cs="Times New Roman"/>
          <w:color w:val="auto"/>
          <w:sz w:val="28"/>
          <w:szCs w:val="28"/>
          <w:highlight w:val="none"/>
        </w:rPr>
        <w:t>：</w:t>
      </w:r>
    </w:p>
    <w:p w14:paraId="2D70D7BD">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我司具有良好的商业信誉和健全的财务会计制度；</w:t>
      </w:r>
    </w:p>
    <w:p w14:paraId="249C36CB">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我司有依法缴纳税和社会保障金的良好记录；</w:t>
      </w:r>
    </w:p>
    <w:p w14:paraId="4045277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我司具有履行合同所必须的设备和专业技术能力；</w:t>
      </w:r>
    </w:p>
    <w:p w14:paraId="76CA60F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我司参加投标活动近三年内，在经营活动中没有重大违法记录；</w:t>
      </w:r>
    </w:p>
    <w:p w14:paraId="71ED419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我司无法律、行政法规规定的其他违规、违纪情况。</w:t>
      </w:r>
    </w:p>
    <w:p w14:paraId="5098705D">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12B73395">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3F312BE4">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4408A8A7">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2E22647E">
      <w:pPr>
        <w:keepNext w:val="0"/>
        <w:keepLines w:val="0"/>
        <w:pageBreakBefore w:val="0"/>
        <w:widowControl w:val="0"/>
        <w:kinsoku/>
        <w:wordWrap/>
        <w:overflowPunct/>
        <w:topLinePunct w:val="0"/>
        <w:autoSpaceDE/>
        <w:autoSpaceDN/>
        <w:bidi w:val="0"/>
        <w:adjustRightInd/>
        <w:snapToGrid/>
        <w:spacing w:line="500" w:lineRule="exact"/>
        <w:ind w:firstLine="4480" w:firstLineChars="16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eastAsia="zh-CN"/>
        </w:rPr>
        <w:t>参选</w:t>
      </w:r>
      <w:r>
        <w:rPr>
          <w:rFonts w:hint="default" w:ascii="Times New Roman" w:hAnsi="Times New Roman" w:eastAsia="方正仿宋_GBK" w:cs="Times New Roman"/>
          <w:color w:val="auto"/>
          <w:sz w:val="28"/>
          <w:szCs w:val="28"/>
          <w:highlight w:val="none"/>
        </w:rPr>
        <w:t>人：（盖章）</w:t>
      </w:r>
    </w:p>
    <w:p w14:paraId="2172D99E">
      <w:pPr>
        <w:keepNext w:val="0"/>
        <w:keepLines w:val="0"/>
        <w:pageBreakBefore w:val="0"/>
        <w:widowControl w:val="0"/>
        <w:kinsoku/>
        <w:wordWrap/>
        <w:overflowPunct/>
        <w:topLinePunct w:val="0"/>
        <w:autoSpaceDE/>
        <w:autoSpaceDN/>
        <w:bidi w:val="0"/>
        <w:adjustRightInd/>
        <w:snapToGrid/>
        <w:spacing w:line="500" w:lineRule="exact"/>
        <w:ind w:firstLine="4480" w:firstLineChars="16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rPr>
        <w:t>日期：</w:t>
      </w:r>
    </w:p>
    <w:p w14:paraId="53FFDDFC">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4E422CA1">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48F41F04">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3E474377">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7B7E7987">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23006628">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223D68EB">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1DCEF483">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183E5DF5">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01151E1E">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23D68BF6">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0E950372">
      <w:pPr>
        <w:pStyle w:val="2"/>
        <w:rPr>
          <w:rFonts w:hint="default" w:ascii="Times New Roman" w:hAnsi="Times New Roman" w:eastAsia="方正仿宋_GBK" w:cs="Times New Roman"/>
          <w:color w:val="auto"/>
          <w:sz w:val="28"/>
          <w:szCs w:val="28"/>
          <w:highlight w:val="none"/>
        </w:rPr>
      </w:pPr>
    </w:p>
    <w:p w14:paraId="51F9D4C7">
      <w:pPr>
        <w:rPr>
          <w:rFonts w:hint="default" w:ascii="Times New Roman" w:hAnsi="Times New Roman" w:eastAsia="方正仿宋_GBK" w:cs="Times New Roman"/>
          <w:color w:val="auto"/>
          <w:sz w:val="28"/>
          <w:szCs w:val="28"/>
          <w:highlight w:val="none"/>
        </w:rPr>
      </w:pPr>
    </w:p>
    <w:p w14:paraId="40D57988">
      <w:pPr>
        <w:jc w:val="center"/>
        <w:rPr>
          <w:rFonts w:hint="eastAsia" w:ascii="仿宋" w:hAnsi="仿宋" w:eastAsia="仿宋" w:cs="仿宋"/>
          <w:color w:val="000000"/>
          <w:sz w:val="84"/>
          <w:szCs w:val="84"/>
        </w:rPr>
      </w:pPr>
    </w:p>
    <w:p w14:paraId="2A43D26A">
      <w:pPr>
        <w:jc w:val="center"/>
        <w:rPr>
          <w:rFonts w:hint="eastAsia" w:ascii="仿宋" w:hAnsi="仿宋" w:eastAsia="仿宋" w:cs="仿宋"/>
          <w:color w:val="000000"/>
          <w:sz w:val="84"/>
          <w:szCs w:val="84"/>
        </w:rPr>
      </w:pPr>
    </w:p>
    <w:p w14:paraId="7291C6E7">
      <w:pPr>
        <w:jc w:val="center"/>
        <w:rPr>
          <w:rFonts w:hint="eastAsia" w:ascii="仿宋" w:hAnsi="仿宋" w:eastAsia="仿宋" w:cs="仿宋"/>
          <w:color w:val="000000"/>
          <w:sz w:val="84"/>
          <w:szCs w:val="84"/>
        </w:rPr>
      </w:pPr>
    </w:p>
    <w:p w14:paraId="3913CF95">
      <w:pPr>
        <w:jc w:val="center"/>
        <w:rPr>
          <w:rFonts w:hint="eastAsia" w:ascii="仿宋" w:hAnsi="仿宋" w:eastAsia="仿宋" w:cs="仿宋"/>
          <w:color w:val="000000"/>
          <w:sz w:val="84"/>
          <w:szCs w:val="84"/>
        </w:rPr>
      </w:pPr>
    </w:p>
    <w:p w14:paraId="70BE3D6E">
      <w:pPr>
        <w:jc w:val="center"/>
        <w:rPr>
          <w:rFonts w:hint="eastAsia" w:ascii="仿宋" w:hAnsi="仿宋" w:eastAsia="仿宋" w:cs="仿宋"/>
          <w:color w:val="000000"/>
          <w:sz w:val="84"/>
          <w:szCs w:val="84"/>
        </w:rPr>
      </w:pPr>
    </w:p>
    <w:p w14:paraId="10113CA5">
      <w:pPr>
        <w:jc w:val="center"/>
        <w:rPr>
          <w:rFonts w:ascii="仿宋" w:hAnsi="仿宋" w:eastAsia="仿宋" w:cs="仿宋"/>
          <w:sz w:val="84"/>
          <w:szCs w:val="84"/>
        </w:rPr>
      </w:pPr>
      <w:r>
        <w:rPr>
          <w:rFonts w:hint="eastAsia" w:ascii="仿宋" w:hAnsi="仿宋" w:eastAsia="仿宋" w:cs="仿宋"/>
          <w:color w:val="000000"/>
          <w:sz w:val="84"/>
          <w:szCs w:val="84"/>
        </w:rPr>
        <w:t>技术方案</w:t>
      </w:r>
    </w:p>
    <w:p w14:paraId="2BD41A71">
      <w:pPr>
        <w:pStyle w:val="2"/>
        <w:rPr>
          <w:rFonts w:hint="default"/>
        </w:rPr>
      </w:pPr>
    </w:p>
    <w:p w14:paraId="704DF3A3">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color w:val="auto"/>
          <w:sz w:val="28"/>
          <w:szCs w:val="28"/>
          <w:highlight w:val="none"/>
        </w:rPr>
      </w:pPr>
    </w:p>
    <w:p w14:paraId="2261BA72">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default" w:ascii="Times New Roman" w:hAnsi="Times New Roman" w:eastAsia="方正黑体_GBK" w:cs="Times New Roman"/>
          <w:color w:val="auto"/>
          <w:sz w:val="32"/>
          <w:szCs w:val="20"/>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8EA3A2">
    <w:r>
      <w:rPr>
        <w:sz w:val="21"/>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134F9E">
                          <w:pPr>
                            <w:pStyle w:val="4"/>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D134F9E">
                    <w:pPr>
                      <w:pStyle w:val="4"/>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D23E0">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044BB">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01D9F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EE0C6">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57C5EF">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7A9F5B"/>
    <w:multiLevelType w:val="singleLevel"/>
    <w:tmpl w:val="887A9F5B"/>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A56107"/>
    <w:rsid w:val="001009DC"/>
    <w:rsid w:val="00A6244D"/>
    <w:rsid w:val="00A97848"/>
    <w:rsid w:val="01714942"/>
    <w:rsid w:val="019B1886"/>
    <w:rsid w:val="01AA1AC9"/>
    <w:rsid w:val="01F73889"/>
    <w:rsid w:val="02A227A1"/>
    <w:rsid w:val="030A6CC4"/>
    <w:rsid w:val="03494072"/>
    <w:rsid w:val="041A1188"/>
    <w:rsid w:val="043C03D6"/>
    <w:rsid w:val="04BF3ADE"/>
    <w:rsid w:val="04D467B4"/>
    <w:rsid w:val="04E141CA"/>
    <w:rsid w:val="04FD60F7"/>
    <w:rsid w:val="04FF55BE"/>
    <w:rsid w:val="05195C41"/>
    <w:rsid w:val="055C30DB"/>
    <w:rsid w:val="0580326D"/>
    <w:rsid w:val="05FD2B10"/>
    <w:rsid w:val="067F5F62"/>
    <w:rsid w:val="06A35A78"/>
    <w:rsid w:val="06F902F4"/>
    <w:rsid w:val="0756593E"/>
    <w:rsid w:val="07BC60B3"/>
    <w:rsid w:val="08955C95"/>
    <w:rsid w:val="08A13C26"/>
    <w:rsid w:val="095852CB"/>
    <w:rsid w:val="096F5AD2"/>
    <w:rsid w:val="09EA3E47"/>
    <w:rsid w:val="0A36039E"/>
    <w:rsid w:val="0A533C12"/>
    <w:rsid w:val="0A6C27E4"/>
    <w:rsid w:val="0AEA4BAD"/>
    <w:rsid w:val="0B325009"/>
    <w:rsid w:val="0BDA2FAB"/>
    <w:rsid w:val="0C8E44C1"/>
    <w:rsid w:val="0CB8518D"/>
    <w:rsid w:val="0CE95B9C"/>
    <w:rsid w:val="0D2564A8"/>
    <w:rsid w:val="0D9553DC"/>
    <w:rsid w:val="0DDF2AFB"/>
    <w:rsid w:val="0DEE5A8C"/>
    <w:rsid w:val="0E1704E7"/>
    <w:rsid w:val="0EAD2BF9"/>
    <w:rsid w:val="0EB126E9"/>
    <w:rsid w:val="0EC31368"/>
    <w:rsid w:val="108A4FA0"/>
    <w:rsid w:val="10923E54"/>
    <w:rsid w:val="110805BA"/>
    <w:rsid w:val="11166833"/>
    <w:rsid w:val="11417D5E"/>
    <w:rsid w:val="115F467E"/>
    <w:rsid w:val="11770A8C"/>
    <w:rsid w:val="118F2C18"/>
    <w:rsid w:val="11A1719D"/>
    <w:rsid w:val="11CD2769"/>
    <w:rsid w:val="12331F7F"/>
    <w:rsid w:val="12A56107"/>
    <w:rsid w:val="12AD766B"/>
    <w:rsid w:val="13531FC1"/>
    <w:rsid w:val="138A3509"/>
    <w:rsid w:val="13F40B7A"/>
    <w:rsid w:val="140B63F8"/>
    <w:rsid w:val="14755F67"/>
    <w:rsid w:val="148A26A1"/>
    <w:rsid w:val="148F7029"/>
    <w:rsid w:val="149B04C5"/>
    <w:rsid w:val="14AA333C"/>
    <w:rsid w:val="14B720DC"/>
    <w:rsid w:val="15500037"/>
    <w:rsid w:val="15C42811"/>
    <w:rsid w:val="15E05166"/>
    <w:rsid w:val="16EB42BE"/>
    <w:rsid w:val="17946C2D"/>
    <w:rsid w:val="18493992"/>
    <w:rsid w:val="18A64941"/>
    <w:rsid w:val="1954439D"/>
    <w:rsid w:val="1A3E508D"/>
    <w:rsid w:val="1AA72BF2"/>
    <w:rsid w:val="1BD47AD6"/>
    <w:rsid w:val="1BE22DFD"/>
    <w:rsid w:val="1BF4269B"/>
    <w:rsid w:val="1BF921D0"/>
    <w:rsid w:val="1BFD0D1C"/>
    <w:rsid w:val="1C275D99"/>
    <w:rsid w:val="1CBE3199"/>
    <w:rsid w:val="1D81597C"/>
    <w:rsid w:val="1DC94F26"/>
    <w:rsid w:val="1DE8288E"/>
    <w:rsid w:val="1E1B7B7F"/>
    <w:rsid w:val="1FA72FEC"/>
    <w:rsid w:val="1FE10954"/>
    <w:rsid w:val="20001A93"/>
    <w:rsid w:val="2000527E"/>
    <w:rsid w:val="202A713C"/>
    <w:rsid w:val="20D12777"/>
    <w:rsid w:val="210963B5"/>
    <w:rsid w:val="21254C15"/>
    <w:rsid w:val="21352D06"/>
    <w:rsid w:val="21F5656C"/>
    <w:rsid w:val="229017AC"/>
    <w:rsid w:val="22BD7B2C"/>
    <w:rsid w:val="22D776D9"/>
    <w:rsid w:val="23E629DD"/>
    <w:rsid w:val="23F92711"/>
    <w:rsid w:val="240D1D18"/>
    <w:rsid w:val="2434366B"/>
    <w:rsid w:val="244E72FB"/>
    <w:rsid w:val="25225132"/>
    <w:rsid w:val="25493224"/>
    <w:rsid w:val="25527496"/>
    <w:rsid w:val="25910727"/>
    <w:rsid w:val="25B85CB3"/>
    <w:rsid w:val="25F27417"/>
    <w:rsid w:val="261A4227"/>
    <w:rsid w:val="263A491A"/>
    <w:rsid w:val="267B5DCA"/>
    <w:rsid w:val="267E6EFD"/>
    <w:rsid w:val="26DD260F"/>
    <w:rsid w:val="279446B3"/>
    <w:rsid w:val="27C070A1"/>
    <w:rsid w:val="286D7229"/>
    <w:rsid w:val="289D26E1"/>
    <w:rsid w:val="289E5635"/>
    <w:rsid w:val="28D03690"/>
    <w:rsid w:val="29211DC2"/>
    <w:rsid w:val="2A427557"/>
    <w:rsid w:val="2AE546EF"/>
    <w:rsid w:val="2B015402"/>
    <w:rsid w:val="2B112C67"/>
    <w:rsid w:val="2B7A242A"/>
    <w:rsid w:val="2C2045B2"/>
    <w:rsid w:val="2C683709"/>
    <w:rsid w:val="2C78619D"/>
    <w:rsid w:val="2D0F08AF"/>
    <w:rsid w:val="2D615418"/>
    <w:rsid w:val="2D8B2A2B"/>
    <w:rsid w:val="2DA37249"/>
    <w:rsid w:val="2DFD2700"/>
    <w:rsid w:val="2E56250D"/>
    <w:rsid w:val="2E5F7614"/>
    <w:rsid w:val="2E7F1A64"/>
    <w:rsid w:val="2E965B9E"/>
    <w:rsid w:val="2F3E04FF"/>
    <w:rsid w:val="2F562962"/>
    <w:rsid w:val="2FAA63BD"/>
    <w:rsid w:val="2FD61B58"/>
    <w:rsid w:val="310B3146"/>
    <w:rsid w:val="310D3139"/>
    <w:rsid w:val="31384C69"/>
    <w:rsid w:val="31464ABB"/>
    <w:rsid w:val="31871647"/>
    <w:rsid w:val="31A35A6A"/>
    <w:rsid w:val="3236068C"/>
    <w:rsid w:val="32C043F9"/>
    <w:rsid w:val="32D84C7B"/>
    <w:rsid w:val="33482D6D"/>
    <w:rsid w:val="339064C2"/>
    <w:rsid w:val="33B2468A"/>
    <w:rsid w:val="33FE342B"/>
    <w:rsid w:val="348D23BC"/>
    <w:rsid w:val="34A55F7B"/>
    <w:rsid w:val="35260E8C"/>
    <w:rsid w:val="35B50461"/>
    <w:rsid w:val="35F03E22"/>
    <w:rsid w:val="361A196A"/>
    <w:rsid w:val="36342F0F"/>
    <w:rsid w:val="36545584"/>
    <w:rsid w:val="376932B2"/>
    <w:rsid w:val="378A4460"/>
    <w:rsid w:val="378D51F2"/>
    <w:rsid w:val="3793032E"/>
    <w:rsid w:val="37AB5678"/>
    <w:rsid w:val="37ED5C19"/>
    <w:rsid w:val="37FF7772"/>
    <w:rsid w:val="3845787B"/>
    <w:rsid w:val="3857135C"/>
    <w:rsid w:val="38734020"/>
    <w:rsid w:val="388163D9"/>
    <w:rsid w:val="388C7CF5"/>
    <w:rsid w:val="38AB10BD"/>
    <w:rsid w:val="38D8249D"/>
    <w:rsid w:val="38E2331B"/>
    <w:rsid w:val="38F644E5"/>
    <w:rsid w:val="39E15381"/>
    <w:rsid w:val="3B685395"/>
    <w:rsid w:val="3BD00017"/>
    <w:rsid w:val="3BEF5957"/>
    <w:rsid w:val="3C2A5C99"/>
    <w:rsid w:val="3D053A7C"/>
    <w:rsid w:val="3E3B6C10"/>
    <w:rsid w:val="3E5A1BA6"/>
    <w:rsid w:val="3ED2798E"/>
    <w:rsid w:val="3EEC1EEC"/>
    <w:rsid w:val="3F0D4E6A"/>
    <w:rsid w:val="3FD17C46"/>
    <w:rsid w:val="40166CB2"/>
    <w:rsid w:val="401F09B1"/>
    <w:rsid w:val="40E02836"/>
    <w:rsid w:val="411E6165"/>
    <w:rsid w:val="416529A9"/>
    <w:rsid w:val="41974570"/>
    <w:rsid w:val="41BE41FA"/>
    <w:rsid w:val="41DF2AEE"/>
    <w:rsid w:val="42923C28"/>
    <w:rsid w:val="42CC010B"/>
    <w:rsid w:val="42FD2B88"/>
    <w:rsid w:val="43CF4ABF"/>
    <w:rsid w:val="43E97C54"/>
    <w:rsid w:val="441B3B85"/>
    <w:rsid w:val="4475773A"/>
    <w:rsid w:val="447C2876"/>
    <w:rsid w:val="44C4421D"/>
    <w:rsid w:val="44F87A23"/>
    <w:rsid w:val="45737E49"/>
    <w:rsid w:val="45F8417E"/>
    <w:rsid w:val="461E1AB1"/>
    <w:rsid w:val="469C1173"/>
    <w:rsid w:val="46E66522"/>
    <w:rsid w:val="470E79D1"/>
    <w:rsid w:val="47D46525"/>
    <w:rsid w:val="48174BDD"/>
    <w:rsid w:val="489B5B2F"/>
    <w:rsid w:val="48A00AFD"/>
    <w:rsid w:val="48BD6017"/>
    <w:rsid w:val="49255061"/>
    <w:rsid w:val="498B7EF7"/>
    <w:rsid w:val="4A1B043B"/>
    <w:rsid w:val="4AA03036"/>
    <w:rsid w:val="4B0D4AB5"/>
    <w:rsid w:val="4B11183E"/>
    <w:rsid w:val="4B3F45FD"/>
    <w:rsid w:val="4BEC0155"/>
    <w:rsid w:val="4C0D7947"/>
    <w:rsid w:val="4C350E7E"/>
    <w:rsid w:val="4C417F01"/>
    <w:rsid w:val="4C517DA8"/>
    <w:rsid w:val="4C8C73CE"/>
    <w:rsid w:val="4C9E0CAE"/>
    <w:rsid w:val="4CD362CA"/>
    <w:rsid w:val="4D4D1254"/>
    <w:rsid w:val="4D550108"/>
    <w:rsid w:val="4D6D377D"/>
    <w:rsid w:val="4E3E0B9C"/>
    <w:rsid w:val="4E4869FD"/>
    <w:rsid w:val="4E597784"/>
    <w:rsid w:val="4E8A5B90"/>
    <w:rsid w:val="4E9C3B15"/>
    <w:rsid w:val="4F0E4A13"/>
    <w:rsid w:val="4F1C1B57"/>
    <w:rsid w:val="4F8B3D96"/>
    <w:rsid w:val="4FC926E8"/>
    <w:rsid w:val="504728B1"/>
    <w:rsid w:val="50940F47"/>
    <w:rsid w:val="50B810C1"/>
    <w:rsid w:val="50F97DF7"/>
    <w:rsid w:val="52A80CDA"/>
    <w:rsid w:val="52B7716F"/>
    <w:rsid w:val="52CF3B95"/>
    <w:rsid w:val="52D936D4"/>
    <w:rsid w:val="52F44E77"/>
    <w:rsid w:val="53833795"/>
    <w:rsid w:val="538A6632"/>
    <w:rsid w:val="53901E9A"/>
    <w:rsid w:val="53ED523B"/>
    <w:rsid w:val="544467E1"/>
    <w:rsid w:val="546B0492"/>
    <w:rsid w:val="547A66A6"/>
    <w:rsid w:val="54A120E0"/>
    <w:rsid w:val="54D758A7"/>
    <w:rsid w:val="552D6192"/>
    <w:rsid w:val="554967A4"/>
    <w:rsid w:val="55591B89"/>
    <w:rsid w:val="55845599"/>
    <w:rsid w:val="55AA2FBB"/>
    <w:rsid w:val="56446F6C"/>
    <w:rsid w:val="570D735E"/>
    <w:rsid w:val="57B4280D"/>
    <w:rsid w:val="58D10EA2"/>
    <w:rsid w:val="59080725"/>
    <w:rsid w:val="592A4DE4"/>
    <w:rsid w:val="595535D6"/>
    <w:rsid w:val="59E4254F"/>
    <w:rsid w:val="59F82547"/>
    <w:rsid w:val="5A3D1170"/>
    <w:rsid w:val="5B340130"/>
    <w:rsid w:val="5B595267"/>
    <w:rsid w:val="5B9A5469"/>
    <w:rsid w:val="5DB7617E"/>
    <w:rsid w:val="5E414F68"/>
    <w:rsid w:val="5E631F59"/>
    <w:rsid w:val="5EBE29F0"/>
    <w:rsid w:val="5EC2745F"/>
    <w:rsid w:val="5ED65910"/>
    <w:rsid w:val="5F2C4DCC"/>
    <w:rsid w:val="5FA22D09"/>
    <w:rsid w:val="5FCC119A"/>
    <w:rsid w:val="5FF60D4C"/>
    <w:rsid w:val="60191836"/>
    <w:rsid w:val="603B1646"/>
    <w:rsid w:val="60A5761D"/>
    <w:rsid w:val="60D120E5"/>
    <w:rsid w:val="60E341A8"/>
    <w:rsid w:val="6138147B"/>
    <w:rsid w:val="61AC2D48"/>
    <w:rsid w:val="61B10D27"/>
    <w:rsid w:val="61FA737D"/>
    <w:rsid w:val="622B0413"/>
    <w:rsid w:val="62632BF6"/>
    <w:rsid w:val="62DD052C"/>
    <w:rsid w:val="637A0EC4"/>
    <w:rsid w:val="63804A53"/>
    <w:rsid w:val="639332E1"/>
    <w:rsid w:val="64153CF6"/>
    <w:rsid w:val="641B57B0"/>
    <w:rsid w:val="6425652C"/>
    <w:rsid w:val="64CD7F6A"/>
    <w:rsid w:val="64D414E2"/>
    <w:rsid w:val="652E32C1"/>
    <w:rsid w:val="66794A10"/>
    <w:rsid w:val="66C7577B"/>
    <w:rsid w:val="67423054"/>
    <w:rsid w:val="674D7D2D"/>
    <w:rsid w:val="67A755AC"/>
    <w:rsid w:val="67E934CF"/>
    <w:rsid w:val="682409AB"/>
    <w:rsid w:val="686D2352"/>
    <w:rsid w:val="68891D50"/>
    <w:rsid w:val="68C35AE5"/>
    <w:rsid w:val="68CA3301"/>
    <w:rsid w:val="69037D42"/>
    <w:rsid w:val="6931738B"/>
    <w:rsid w:val="69A71894"/>
    <w:rsid w:val="69D56401"/>
    <w:rsid w:val="69EE1271"/>
    <w:rsid w:val="6A2B6021"/>
    <w:rsid w:val="6ABA73A5"/>
    <w:rsid w:val="6B760DE7"/>
    <w:rsid w:val="6C0E79A8"/>
    <w:rsid w:val="6C164AAF"/>
    <w:rsid w:val="6C25069C"/>
    <w:rsid w:val="6C47110C"/>
    <w:rsid w:val="6C523D39"/>
    <w:rsid w:val="6C950597"/>
    <w:rsid w:val="6CC2270C"/>
    <w:rsid w:val="6D3502FB"/>
    <w:rsid w:val="6D5C2995"/>
    <w:rsid w:val="6E296D1B"/>
    <w:rsid w:val="6E5B49FB"/>
    <w:rsid w:val="6ECE1671"/>
    <w:rsid w:val="6F714CE8"/>
    <w:rsid w:val="6F8306AD"/>
    <w:rsid w:val="6FC22F83"/>
    <w:rsid w:val="6FED08DE"/>
    <w:rsid w:val="706A7177"/>
    <w:rsid w:val="70A408DB"/>
    <w:rsid w:val="711A34A8"/>
    <w:rsid w:val="715916C6"/>
    <w:rsid w:val="71804EA4"/>
    <w:rsid w:val="7215689C"/>
    <w:rsid w:val="725A3947"/>
    <w:rsid w:val="72606A84"/>
    <w:rsid w:val="72A26EFE"/>
    <w:rsid w:val="731B7655"/>
    <w:rsid w:val="732400E1"/>
    <w:rsid w:val="73397B03"/>
    <w:rsid w:val="733B5062"/>
    <w:rsid w:val="73AC448B"/>
    <w:rsid w:val="74D845CC"/>
    <w:rsid w:val="7510653F"/>
    <w:rsid w:val="7517492D"/>
    <w:rsid w:val="751B4924"/>
    <w:rsid w:val="75267B11"/>
    <w:rsid w:val="75994786"/>
    <w:rsid w:val="75AD3D8E"/>
    <w:rsid w:val="75D67789"/>
    <w:rsid w:val="7662101C"/>
    <w:rsid w:val="766D176F"/>
    <w:rsid w:val="767B0E6C"/>
    <w:rsid w:val="76F1414E"/>
    <w:rsid w:val="771D3195"/>
    <w:rsid w:val="7725204A"/>
    <w:rsid w:val="778169C9"/>
    <w:rsid w:val="77AF64E3"/>
    <w:rsid w:val="77CC3B2B"/>
    <w:rsid w:val="77DF044B"/>
    <w:rsid w:val="77FE2FC7"/>
    <w:rsid w:val="781F4CEB"/>
    <w:rsid w:val="782227CB"/>
    <w:rsid w:val="786646C8"/>
    <w:rsid w:val="78D67AA0"/>
    <w:rsid w:val="78EC19BD"/>
    <w:rsid w:val="78FE478C"/>
    <w:rsid w:val="7A564C7C"/>
    <w:rsid w:val="7ADB139D"/>
    <w:rsid w:val="7AF64429"/>
    <w:rsid w:val="7B2745E3"/>
    <w:rsid w:val="7B486307"/>
    <w:rsid w:val="7BAF3EEB"/>
    <w:rsid w:val="7BE04869"/>
    <w:rsid w:val="7BE55C9A"/>
    <w:rsid w:val="7C036DFE"/>
    <w:rsid w:val="7C482A62"/>
    <w:rsid w:val="7C49034C"/>
    <w:rsid w:val="7C834CAD"/>
    <w:rsid w:val="7C8F7183"/>
    <w:rsid w:val="7CA2303F"/>
    <w:rsid w:val="7CDC5B66"/>
    <w:rsid w:val="7CE87012"/>
    <w:rsid w:val="7D3612AD"/>
    <w:rsid w:val="7D711B45"/>
    <w:rsid w:val="7D85291F"/>
    <w:rsid w:val="7E0E6A9A"/>
    <w:rsid w:val="7E245E42"/>
    <w:rsid w:val="7E33504C"/>
    <w:rsid w:val="7EFD7B28"/>
    <w:rsid w:val="7FC93E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0"/>
    <w:pPr>
      <w:snapToGrid w:val="0"/>
      <w:spacing w:before="240" w:after="60"/>
      <w:jc w:val="center"/>
      <w:outlineLvl w:val="0"/>
    </w:pPr>
    <w:rPr>
      <w:rFonts w:ascii="Cambria" w:hAnsi="Cambria"/>
      <w:b/>
      <w:bCs/>
      <w:sz w:val="44"/>
      <w:szCs w:val="32"/>
    </w:rPr>
  </w:style>
  <w:style w:type="paragraph" w:styleId="3">
    <w:name w:val="Body Text"/>
    <w:basedOn w:val="1"/>
    <w:next w:val="1"/>
    <w:semiHidden/>
    <w:qFormat/>
    <w:uiPriority w:val="0"/>
    <w:rPr>
      <w:rFonts w:ascii="黑体" w:hAnsi="黑体" w:eastAsia="黑体" w:cs="黑体"/>
      <w:sz w:val="16"/>
      <w:szCs w:val="16"/>
      <w:lang w:val="en-US" w:eastAsia="en-US" w:bidi="ar-SA"/>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qFormat/>
    <w:uiPriority w:val="0"/>
    <w:rPr>
      <w:color w:val="0000FF"/>
      <w:u w:val="single"/>
    </w:rPr>
  </w:style>
  <w:style w:type="paragraph" w:customStyle="1" w:styleId="10">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6162</Words>
  <Characters>6474</Characters>
  <Lines>0</Lines>
  <Paragraphs>0</Paragraphs>
  <TotalTime>32</TotalTime>
  <ScaleCrop>false</ScaleCrop>
  <LinksUpToDate>false</LinksUpToDate>
  <CharactersWithSpaces>6613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2025-09-15T07:48:00Z</dcterms:created>
  <dc:creator>TF</dc:creator>
  <cp:lastModifiedBy>凉城已·无爱</cp:lastModifiedBy>
  <cp:lastPrinted>2026-07-14T00:19:09Z</cp:lastPrinted>
  <dcterms:modified xsi:type="dcterms:W3CDTF">2026-07-14T00:21:34Z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2D5B2A010DAF43EC83121DD40DBFD573_13</vt:lpwstr>
  </property>
  <property fmtid="{D5CDD505-2E9C-101B-9397-08002B2CF9AE}" pid="4" name="KSOTemplateDocerSaveRecord">
    <vt:lpwstr>eyJoZGlkIjoiMTVlYWQ1OGI1ZjMyNmExY2QxM2U5Y2FjY2ZmNmQ2YmEiLCJ1c2VySWQiOiIyOTgxNTM1OTgifQ==</vt:lpwstr>
  </property>
</Properties>
</file>