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8447F">
      <w:pPr>
        <w:pStyle w:val="12"/>
        <w:rPr>
          <w:highlight w:val="none"/>
        </w:rPr>
      </w:pPr>
    </w:p>
    <w:p w14:paraId="2168D0F3">
      <w:pPr>
        <w:pStyle w:val="7"/>
        <w:jc w:val="center"/>
        <w:rPr>
          <w:rFonts w:ascii="宋体" w:hAnsi="宋体"/>
          <w:kern w:val="0"/>
          <w:sz w:val="32"/>
          <w:szCs w:val="32"/>
          <w:highlight w:val="none"/>
        </w:rPr>
      </w:pPr>
    </w:p>
    <w:p w14:paraId="0A052537">
      <w:pPr>
        <w:pStyle w:val="7"/>
        <w:jc w:val="center"/>
        <w:rPr>
          <w:rFonts w:hint="eastAsia" w:ascii="宋体" w:hAnsi="宋体" w:eastAsia="宋体"/>
          <w:kern w:val="0"/>
          <w:sz w:val="32"/>
          <w:szCs w:val="32"/>
          <w:highlight w:val="none"/>
          <w:lang w:val="en-US" w:eastAsia="zh-CN"/>
        </w:rPr>
      </w:pPr>
      <w:r>
        <w:rPr>
          <w:rFonts w:hint="eastAsia" w:ascii="宋体" w:hAnsi="宋体"/>
          <w:kern w:val="0"/>
          <w:sz w:val="32"/>
          <w:szCs w:val="32"/>
          <w:highlight w:val="none"/>
        </w:rPr>
        <w:t>项目名称：</w:t>
      </w:r>
      <w:r>
        <w:rPr>
          <w:rFonts w:hint="eastAsia" w:ascii="宋体" w:hAnsi="宋体"/>
          <w:kern w:val="0"/>
          <w:sz w:val="32"/>
          <w:szCs w:val="32"/>
          <w:highlight w:val="none"/>
          <w:lang w:val="en-US" w:eastAsia="zh-CN"/>
        </w:rPr>
        <w:t>阿依河景区非遗工坊改造及环境布置EPC工程</w:t>
      </w:r>
    </w:p>
    <w:p w14:paraId="23A26155">
      <w:pPr>
        <w:autoSpaceDE w:val="0"/>
        <w:autoSpaceDN w:val="0"/>
        <w:adjustRightInd w:val="0"/>
        <w:snapToGrid w:val="0"/>
        <w:spacing w:line="360" w:lineRule="auto"/>
        <w:jc w:val="left"/>
        <w:rPr>
          <w:rFonts w:ascii="宋体" w:hAnsi="宋体"/>
          <w:kern w:val="0"/>
          <w:sz w:val="20"/>
          <w:szCs w:val="20"/>
          <w:highlight w:val="none"/>
        </w:rPr>
      </w:pPr>
    </w:p>
    <w:p w14:paraId="575ED5DD">
      <w:pPr>
        <w:autoSpaceDE w:val="0"/>
        <w:autoSpaceDN w:val="0"/>
        <w:adjustRightInd w:val="0"/>
        <w:snapToGrid w:val="0"/>
        <w:spacing w:line="360" w:lineRule="auto"/>
        <w:jc w:val="left"/>
        <w:rPr>
          <w:rFonts w:ascii="宋体" w:hAnsi="宋体"/>
          <w:kern w:val="0"/>
          <w:sz w:val="20"/>
          <w:szCs w:val="20"/>
          <w:highlight w:val="none"/>
        </w:rPr>
      </w:pPr>
    </w:p>
    <w:p w14:paraId="2F84869A">
      <w:pPr>
        <w:pStyle w:val="12"/>
        <w:rPr>
          <w:rFonts w:ascii="宋体" w:hAnsi="宋体"/>
          <w:kern w:val="0"/>
          <w:sz w:val="20"/>
          <w:szCs w:val="20"/>
          <w:highlight w:val="none"/>
        </w:rPr>
      </w:pPr>
    </w:p>
    <w:p w14:paraId="041CDE72">
      <w:pPr>
        <w:rPr>
          <w:rFonts w:ascii="宋体" w:hAnsi="宋体"/>
          <w:kern w:val="0"/>
          <w:sz w:val="20"/>
          <w:szCs w:val="20"/>
          <w:highlight w:val="none"/>
        </w:rPr>
      </w:pPr>
    </w:p>
    <w:p w14:paraId="1DC45261">
      <w:pPr>
        <w:pStyle w:val="12"/>
        <w:rPr>
          <w:rFonts w:ascii="宋体" w:hAnsi="宋体"/>
          <w:kern w:val="0"/>
          <w:sz w:val="20"/>
          <w:szCs w:val="20"/>
          <w:highlight w:val="none"/>
        </w:rPr>
      </w:pPr>
    </w:p>
    <w:p w14:paraId="1AC26B7B">
      <w:pPr>
        <w:rPr>
          <w:highlight w:val="none"/>
        </w:rPr>
      </w:pPr>
    </w:p>
    <w:p w14:paraId="0D829F5F">
      <w:pPr>
        <w:autoSpaceDE w:val="0"/>
        <w:autoSpaceDN w:val="0"/>
        <w:adjustRightInd w:val="0"/>
        <w:snapToGrid w:val="0"/>
        <w:spacing w:line="360" w:lineRule="auto"/>
        <w:jc w:val="left"/>
        <w:rPr>
          <w:rFonts w:ascii="宋体" w:hAnsi="宋体"/>
          <w:kern w:val="0"/>
          <w:sz w:val="20"/>
          <w:szCs w:val="20"/>
          <w:highlight w:val="none"/>
        </w:rPr>
      </w:pPr>
    </w:p>
    <w:p w14:paraId="10B0173D">
      <w:pPr>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 xml:space="preserve">比 选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3412982A">
      <w:pPr>
        <w:autoSpaceDE w:val="0"/>
        <w:autoSpaceDN w:val="0"/>
        <w:adjustRightInd w:val="0"/>
        <w:snapToGrid w:val="0"/>
        <w:spacing w:line="360" w:lineRule="auto"/>
        <w:jc w:val="left"/>
        <w:rPr>
          <w:rFonts w:ascii="宋体" w:hAnsi="宋体"/>
          <w:kern w:val="0"/>
          <w:sz w:val="10"/>
          <w:szCs w:val="10"/>
          <w:highlight w:val="none"/>
        </w:rPr>
      </w:pPr>
    </w:p>
    <w:p w14:paraId="46E35C4E">
      <w:pPr>
        <w:autoSpaceDE w:val="0"/>
        <w:autoSpaceDN w:val="0"/>
        <w:adjustRightInd w:val="0"/>
        <w:snapToGrid w:val="0"/>
        <w:spacing w:line="360" w:lineRule="auto"/>
        <w:jc w:val="center"/>
        <w:rPr>
          <w:rFonts w:ascii="宋体" w:hAnsi="宋体"/>
          <w:kern w:val="0"/>
          <w:sz w:val="20"/>
          <w:szCs w:val="20"/>
          <w:highlight w:val="none"/>
        </w:rPr>
      </w:pPr>
    </w:p>
    <w:p w14:paraId="1392AFD6">
      <w:pPr>
        <w:autoSpaceDE w:val="0"/>
        <w:autoSpaceDN w:val="0"/>
        <w:adjustRightInd w:val="0"/>
        <w:snapToGrid w:val="0"/>
        <w:spacing w:line="360" w:lineRule="auto"/>
        <w:jc w:val="left"/>
        <w:rPr>
          <w:rFonts w:ascii="宋体" w:hAnsi="宋体"/>
          <w:kern w:val="0"/>
          <w:sz w:val="20"/>
          <w:szCs w:val="20"/>
          <w:highlight w:val="none"/>
        </w:rPr>
      </w:pPr>
    </w:p>
    <w:p w14:paraId="036718FE">
      <w:pPr>
        <w:autoSpaceDE w:val="0"/>
        <w:autoSpaceDN w:val="0"/>
        <w:adjustRightInd w:val="0"/>
        <w:snapToGrid w:val="0"/>
        <w:spacing w:line="360" w:lineRule="auto"/>
        <w:jc w:val="left"/>
        <w:rPr>
          <w:rFonts w:ascii="宋体" w:hAnsi="宋体"/>
          <w:kern w:val="0"/>
          <w:sz w:val="20"/>
          <w:szCs w:val="20"/>
          <w:highlight w:val="none"/>
        </w:rPr>
      </w:pPr>
    </w:p>
    <w:p w14:paraId="11C9522B">
      <w:pPr>
        <w:autoSpaceDE w:val="0"/>
        <w:autoSpaceDN w:val="0"/>
        <w:adjustRightInd w:val="0"/>
        <w:snapToGrid w:val="0"/>
        <w:spacing w:line="360" w:lineRule="auto"/>
        <w:rPr>
          <w:rFonts w:ascii="宋体" w:hAnsi="宋体"/>
          <w:kern w:val="0"/>
          <w:sz w:val="20"/>
          <w:szCs w:val="20"/>
          <w:highlight w:val="none"/>
        </w:rPr>
      </w:pPr>
    </w:p>
    <w:p w14:paraId="76A6E840">
      <w:pPr>
        <w:autoSpaceDE w:val="0"/>
        <w:autoSpaceDN w:val="0"/>
        <w:adjustRightInd w:val="0"/>
        <w:snapToGrid w:val="0"/>
        <w:spacing w:line="360" w:lineRule="auto"/>
        <w:jc w:val="left"/>
        <w:rPr>
          <w:rFonts w:ascii="宋体" w:hAnsi="宋体"/>
          <w:kern w:val="0"/>
          <w:sz w:val="20"/>
          <w:szCs w:val="20"/>
          <w:highlight w:val="none"/>
        </w:rPr>
      </w:pPr>
    </w:p>
    <w:p w14:paraId="77B61A9F">
      <w:pPr>
        <w:autoSpaceDE w:val="0"/>
        <w:autoSpaceDN w:val="0"/>
        <w:adjustRightInd w:val="0"/>
        <w:snapToGrid w:val="0"/>
        <w:spacing w:line="360" w:lineRule="auto"/>
        <w:rPr>
          <w:rFonts w:ascii="宋体" w:hAnsi="宋体"/>
          <w:kern w:val="0"/>
          <w:sz w:val="20"/>
          <w:szCs w:val="20"/>
          <w:highlight w:val="none"/>
        </w:rPr>
      </w:pPr>
    </w:p>
    <w:p w14:paraId="582DD0CE">
      <w:pPr>
        <w:autoSpaceDE w:val="0"/>
        <w:autoSpaceDN w:val="0"/>
        <w:adjustRightInd w:val="0"/>
        <w:snapToGrid w:val="0"/>
        <w:spacing w:line="360" w:lineRule="auto"/>
        <w:rPr>
          <w:rFonts w:ascii="宋体" w:hAnsi="宋体"/>
          <w:kern w:val="0"/>
          <w:sz w:val="20"/>
          <w:szCs w:val="20"/>
          <w:highlight w:val="none"/>
        </w:rPr>
      </w:pPr>
    </w:p>
    <w:p w14:paraId="66F4582A">
      <w:pPr>
        <w:autoSpaceDE w:val="0"/>
        <w:autoSpaceDN w:val="0"/>
        <w:adjustRightInd w:val="0"/>
        <w:snapToGrid w:val="0"/>
        <w:spacing w:line="360" w:lineRule="auto"/>
        <w:rPr>
          <w:rFonts w:ascii="宋体" w:hAnsi="宋体"/>
          <w:kern w:val="0"/>
          <w:sz w:val="20"/>
          <w:szCs w:val="20"/>
          <w:highlight w:val="none"/>
        </w:rPr>
      </w:pPr>
    </w:p>
    <w:p w14:paraId="52B6792B">
      <w:pPr>
        <w:tabs>
          <w:tab w:val="left" w:pos="7088"/>
        </w:tabs>
        <w:autoSpaceDE w:val="0"/>
        <w:autoSpaceDN w:val="0"/>
        <w:adjustRightInd w:val="0"/>
        <w:snapToGrid w:val="0"/>
        <w:spacing w:line="360" w:lineRule="auto"/>
        <w:jc w:val="left"/>
        <w:rPr>
          <w:rFonts w:ascii="宋体" w:hAnsi="宋体"/>
          <w:bCs/>
          <w:w w:val="99"/>
          <w:kern w:val="0"/>
          <w:sz w:val="28"/>
          <w:szCs w:val="28"/>
          <w:highlight w:val="none"/>
        </w:rPr>
      </w:pPr>
      <w:r>
        <w:rPr>
          <w:rFonts w:hint="eastAsia" w:ascii="宋体" w:hAnsi="宋体"/>
          <w:bCs/>
          <w:w w:val="99"/>
          <w:kern w:val="0"/>
          <w:sz w:val="28"/>
          <w:szCs w:val="28"/>
          <w:highlight w:val="none"/>
        </w:rPr>
        <w:t xml:space="preserve">比 </w:t>
      </w:r>
      <w:r>
        <w:rPr>
          <w:rFonts w:ascii="宋体" w:hAnsi="宋体"/>
          <w:bCs/>
          <w:w w:val="99"/>
          <w:kern w:val="0"/>
          <w:sz w:val="28"/>
          <w:szCs w:val="28"/>
          <w:highlight w:val="none"/>
        </w:rPr>
        <w:t xml:space="preserve">  </w:t>
      </w:r>
      <w:r>
        <w:rPr>
          <w:rFonts w:hint="eastAsia" w:ascii="宋体" w:hAnsi="宋体"/>
          <w:bCs/>
          <w:w w:val="99"/>
          <w:kern w:val="0"/>
          <w:sz w:val="28"/>
          <w:szCs w:val="28"/>
          <w:highlight w:val="none"/>
        </w:rPr>
        <w:t xml:space="preserve">选   </w:t>
      </w:r>
      <w:r>
        <w:rPr>
          <w:rFonts w:ascii="宋体" w:hAnsi="宋体"/>
          <w:bCs/>
          <w:w w:val="99"/>
          <w:kern w:val="0"/>
          <w:sz w:val="28"/>
          <w:szCs w:val="28"/>
          <w:highlight w:val="none"/>
        </w:rPr>
        <w:t>人：</w:t>
      </w:r>
      <w:r>
        <w:rPr>
          <w:rFonts w:hint="eastAsia" w:ascii="宋体" w:hAnsi="宋体"/>
          <w:bCs/>
          <w:w w:val="99"/>
          <w:kern w:val="0"/>
          <w:sz w:val="28"/>
          <w:szCs w:val="28"/>
          <w:highlight w:val="none"/>
          <w:u w:val="single"/>
          <w:lang w:val="en-US" w:eastAsia="zh-CN"/>
        </w:rPr>
        <w:t>重庆乌江画廊旅游开发有限公司阿依河分公司</w:t>
      </w:r>
      <w:r>
        <w:rPr>
          <w:rFonts w:ascii="宋体" w:hAnsi="宋体"/>
          <w:bCs/>
          <w:w w:val="99"/>
          <w:kern w:val="0"/>
          <w:sz w:val="28"/>
          <w:szCs w:val="28"/>
          <w:highlight w:val="none"/>
        </w:rPr>
        <w:t>（盖单位公章）</w:t>
      </w:r>
    </w:p>
    <w:p w14:paraId="75B68EF6">
      <w:pPr>
        <w:autoSpaceDE w:val="0"/>
        <w:autoSpaceDN w:val="0"/>
        <w:adjustRightInd w:val="0"/>
        <w:snapToGrid w:val="0"/>
        <w:spacing w:line="360" w:lineRule="auto"/>
        <w:jc w:val="center"/>
        <w:rPr>
          <w:rFonts w:ascii="宋体" w:hAnsi="宋体"/>
          <w:bCs/>
          <w:kern w:val="0"/>
          <w:sz w:val="28"/>
          <w:szCs w:val="28"/>
          <w:highlight w:val="none"/>
        </w:rPr>
      </w:pPr>
    </w:p>
    <w:p w14:paraId="3780DB17">
      <w:pPr>
        <w:autoSpaceDE w:val="0"/>
        <w:autoSpaceDN w:val="0"/>
        <w:adjustRightInd w:val="0"/>
        <w:snapToGrid w:val="0"/>
        <w:spacing w:line="360" w:lineRule="auto"/>
        <w:rPr>
          <w:rFonts w:ascii="宋体" w:hAnsi="宋体"/>
          <w:bCs/>
          <w:kern w:val="0"/>
          <w:sz w:val="20"/>
          <w:szCs w:val="20"/>
          <w:highlight w:val="none"/>
        </w:rPr>
      </w:pPr>
    </w:p>
    <w:p w14:paraId="71B29173">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r>
        <w:rPr>
          <w:rFonts w:ascii="宋体" w:hAnsi="宋体"/>
          <w:bCs/>
          <w:spacing w:val="8"/>
          <w:kern w:val="0"/>
          <w:sz w:val="28"/>
          <w:szCs w:val="28"/>
          <w:highlight w:val="none"/>
        </w:rPr>
        <w:t>202</w:t>
      </w:r>
      <w:r>
        <w:rPr>
          <w:rFonts w:hint="eastAsia" w:ascii="宋体" w:hAnsi="宋体"/>
          <w:bCs/>
          <w:spacing w:val="8"/>
          <w:kern w:val="0"/>
          <w:sz w:val="28"/>
          <w:szCs w:val="28"/>
          <w:highlight w:val="none"/>
          <w:lang w:val="en-US" w:eastAsia="zh-CN"/>
        </w:rPr>
        <w:t>6</w:t>
      </w:r>
      <w:r>
        <w:rPr>
          <w:rFonts w:ascii="宋体" w:hAnsi="宋体"/>
          <w:bCs/>
          <w:spacing w:val="8"/>
          <w:kern w:val="0"/>
          <w:sz w:val="28"/>
          <w:szCs w:val="28"/>
          <w:highlight w:val="none"/>
        </w:rPr>
        <w:t>年</w:t>
      </w:r>
      <w:r>
        <w:rPr>
          <w:rFonts w:hint="eastAsia" w:ascii="宋体" w:hAnsi="宋体"/>
          <w:bCs/>
          <w:spacing w:val="8"/>
          <w:kern w:val="0"/>
          <w:sz w:val="28"/>
          <w:szCs w:val="28"/>
          <w:highlight w:val="none"/>
          <w:lang w:val="en-US" w:eastAsia="zh-CN"/>
        </w:rPr>
        <w:t>5</w:t>
      </w:r>
      <w:r>
        <w:rPr>
          <w:rFonts w:ascii="宋体" w:hAnsi="宋体"/>
          <w:bCs/>
          <w:spacing w:val="8"/>
          <w:kern w:val="0"/>
          <w:sz w:val="28"/>
          <w:szCs w:val="28"/>
          <w:highlight w:val="none"/>
        </w:rPr>
        <w:t>月</w:t>
      </w:r>
    </w:p>
    <w:p w14:paraId="2D9B9C21">
      <w:pPr>
        <w:pStyle w:val="2"/>
        <w:spacing w:line="360" w:lineRule="auto"/>
        <w:jc w:val="center"/>
        <w:rPr>
          <w:rFonts w:ascii="宋体" w:hAnsi="宋体"/>
          <w:w w:val="99"/>
          <w:kern w:val="0"/>
          <w:sz w:val="24"/>
          <w:highlight w:val="none"/>
        </w:rPr>
        <w:sectPr>
          <w:footerReference r:id="rId3" w:type="default"/>
          <w:pgSz w:w="11907" w:h="16840"/>
          <w:pgMar w:top="2098" w:right="1531" w:bottom="1984" w:left="1531" w:header="851" w:footer="992" w:gutter="0"/>
          <w:pgNumType w:fmt="numberInDash" w:start="1"/>
          <w:cols w:space="720" w:num="1"/>
          <w:docGrid w:linePitch="312" w:charSpace="0"/>
        </w:sectPr>
      </w:pPr>
    </w:p>
    <w:p w14:paraId="7BD404BD">
      <w:pPr>
        <w:pStyle w:val="27"/>
        <w:jc w:val="center"/>
        <w:rPr>
          <w:rFonts w:ascii="宋体" w:hAnsi="宋体"/>
          <w:color w:val="auto"/>
          <w:sz w:val="44"/>
          <w:szCs w:val="44"/>
          <w:highlight w:val="none"/>
        </w:rPr>
      </w:pPr>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p>
    <w:p w14:paraId="010BAC78">
      <w:pPr>
        <w:pStyle w:val="10"/>
        <w:tabs>
          <w:tab w:val="right" w:leader="dot" w:pos="9459"/>
          <w:tab w:val="clear" w:pos="8302"/>
        </w:tabs>
        <w:spacing w:line="240" w:lineRule="auto"/>
        <w:rPr>
          <w:rFonts w:ascii="宋体" w:hAnsi="宋体" w:cs="宋体"/>
          <w:b w:val="0"/>
          <w:sz w:val="20"/>
          <w:highlight w:val="none"/>
        </w:rPr>
      </w:pPr>
      <w:r>
        <w:rPr>
          <w:rFonts w:hint="eastAsia" w:ascii="宋体" w:hAnsi="宋体" w:cs="宋体"/>
          <w:sz w:val="20"/>
          <w:highlight w:val="none"/>
        </w:rPr>
        <w:fldChar w:fldCharType="begin"/>
      </w:r>
      <w:r>
        <w:rPr>
          <w:rFonts w:hint="eastAsia" w:ascii="宋体" w:hAnsi="宋体" w:cs="宋体"/>
          <w:sz w:val="20"/>
          <w:highlight w:val="none"/>
        </w:rPr>
        <w:instrText xml:space="preserve"> TOC \o "1-3" \h \z \u </w:instrText>
      </w:r>
      <w:r>
        <w:rPr>
          <w:rFonts w:hint="eastAsia" w:ascii="宋体" w:hAnsi="宋体" w:cs="宋体"/>
          <w:sz w:val="20"/>
          <w:highlight w:val="none"/>
        </w:rPr>
        <w:fldChar w:fldCharType="separate"/>
      </w:r>
      <w:r>
        <w:rPr>
          <w:highlight w:val="none"/>
        </w:rPr>
        <w:fldChar w:fldCharType="begin"/>
      </w:r>
      <w:r>
        <w:rPr>
          <w:highlight w:val="none"/>
        </w:rPr>
        <w:instrText xml:space="preserve"> HYPERLINK \l "_Toc68115847" </w:instrText>
      </w:r>
      <w:r>
        <w:rPr>
          <w:highlight w:val="none"/>
        </w:rPr>
        <w:fldChar w:fldCharType="separate"/>
      </w:r>
      <w:r>
        <w:rPr>
          <w:rStyle w:val="18"/>
          <w:rFonts w:hint="eastAsia" w:ascii="宋体" w:hAnsi="宋体" w:cs="宋体"/>
          <w:snapToGrid w:val="0"/>
          <w:color w:val="auto"/>
          <w:kern w:val="0"/>
          <w:sz w:val="20"/>
          <w:highlight w:val="none"/>
        </w:rPr>
        <w:t>第一章  比选公告</w:t>
      </w:r>
      <w:r>
        <w:rPr>
          <w:rFonts w:hint="eastAsia" w:ascii="宋体" w:hAnsi="宋体" w:cs="宋体"/>
          <w:sz w:val="20"/>
          <w:highlight w:val="none"/>
        </w:rPr>
        <w:tab/>
      </w:r>
      <w:r>
        <w:rPr>
          <w:rFonts w:hint="eastAsia" w:ascii="宋体" w:hAnsi="宋体" w:cs="宋体"/>
          <w:sz w:val="20"/>
          <w:highlight w:val="none"/>
        </w:rPr>
        <w:t>3</w:t>
      </w:r>
      <w:r>
        <w:rPr>
          <w:rFonts w:hint="eastAsia" w:ascii="宋体" w:hAnsi="宋体" w:cs="宋体"/>
          <w:sz w:val="20"/>
          <w:highlight w:val="none"/>
        </w:rPr>
        <w:fldChar w:fldCharType="end"/>
      </w:r>
    </w:p>
    <w:p w14:paraId="7B6CB59F">
      <w:pPr>
        <w:pStyle w:val="10"/>
        <w:tabs>
          <w:tab w:val="right" w:leader="dot" w:pos="9459"/>
          <w:tab w:val="clear" w:pos="8302"/>
        </w:tabs>
        <w:spacing w:line="240" w:lineRule="auto"/>
        <w:rPr>
          <w:rFonts w:ascii="宋体" w:hAnsi="宋体" w:cs="宋体"/>
          <w:b w:val="0"/>
          <w:sz w:val="20"/>
          <w:highlight w:val="none"/>
        </w:rPr>
      </w:pPr>
      <w:r>
        <w:rPr>
          <w:highlight w:val="none"/>
        </w:rPr>
        <w:fldChar w:fldCharType="begin"/>
      </w:r>
      <w:r>
        <w:rPr>
          <w:highlight w:val="none"/>
        </w:rPr>
        <w:instrText xml:space="preserve"> HYPERLINK \l "_Toc68115854" </w:instrText>
      </w:r>
      <w:r>
        <w:rPr>
          <w:highlight w:val="none"/>
        </w:rPr>
        <w:fldChar w:fldCharType="separate"/>
      </w:r>
      <w:r>
        <w:rPr>
          <w:rStyle w:val="18"/>
          <w:rFonts w:hint="eastAsia" w:ascii="宋体" w:hAnsi="宋体" w:cs="宋体"/>
          <w:snapToGrid w:val="0"/>
          <w:color w:val="auto"/>
          <w:kern w:val="0"/>
          <w:sz w:val="20"/>
          <w:highlight w:val="none"/>
        </w:rPr>
        <w:t>第二章  参选人须知</w:t>
      </w:r>
      <w:r>
        <w:rPr>
          <w:rFonts w:hint="eastAsia" w:ascii="宋体" w:hAnsi="宋体" w:cs="宋体"/>
          <w:sz w:val="20"/>
          <w:highlight w:val="none"/>
        </w:rPr>
        <w:tab/>
      </w:r>
      <w:r>
        <w:rPr>
          <w:rFonts w:hint="eastAsia" w:ascii="宋体" w:hAnsi="宋体" w:cs="宋体"/>
          <w:sz w:val="20"/>
          <w:highlight w:val="none"/>
        </w:rPr>
        <w:t>5</w:t>
      </w:r>
      <w:r>
        <w:rPr>
          <w:rFonts w:hint="eastAsia" w:ascii="宋体" w:hAnsi="宋体" w:cs="宋体"/>
          <w:sz w:val="20"/>
          <w:highlight w:val="none"/>
        </w:rPr>
        <w:fldChar w:fldCharType="end"/>
      </w:r>
    </w:p>
    <w:p w14:paraId="08607074">
      <w:pPr>
        <w:pStyle w:val="10"/>
        <w:tabs>
          <w:tab w:val="right" w:leader="dot" w:pos="9459"/>
          <w:tab w:val="clear" w:pos="8302"/>
        </w:tabs>
        <w:spacing w:line="240" w:lineRule="auto"/>
        <w:rPr>
          <w:rFonts w:hint="eastAsia" w:ascii="宋体" w:hAnsi="宋体" w:eastAsia="宋体" w:cs="宋体"/>
          <w:b w:val="0"/>
          <w:sz w:val="20"/>
          <w:highlight w:val="none"/>
          <w:lang w:eastAsia="zh-CN"/>
        </w:rPr>
      </w:pPr>
      <w:r>
        <w:rPr>
          <w:highlight w:val="none"/>
        </w:rPr>
        <w:fldChar w:fldCharType="begin"/>
      </w:r>
      <w:r>
        <w:rPr>
          <w:highlight w:val="none"/>
        </w:rPr>
        <w:instrText xml:space="preserve"> HYPERLINK \l "_Toc68115907" </w:instrText>
      </w:r>
      <w:r>
        <w:rPr>
          <w:highlight w:val="none"/>
        </w:rPr>
        <w:fldChar w:fldCharType="separate"/>
      </w:r>
      <w:r>
        <w:rPr>
          <w:rStyle w:val="18"/>
          <w:rFonts w:hint="eastAsia" w:ascii="宋体" w:hAnsi="宋体" w:cs="宋体"/>
          <w:color w:val="auto"/>
          <w:sz w:val="20"/>
          <w:highlight w:val="none"/>
        </w:rPr>
        <w:t>第三章  评标办法（综合评估法）</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lang w:val="en-US" w:eastAsia="zh-CN"/>
        </w:rPr>
        <w:t>9</w:t>
      </w:r>
    </w:p>
    <w:p w14:paraId="0C1E3C61">
      <w:pPr>
        <w:pStyle w:val="10"/>
        <w:tabs>
          <w:tab w:val="right" w:leader="dot" w:pos="9459"/>
          <w:tab w:val="clear" w:pos="8302"/>
        </w:tabs>
        <w:spacing w:line="240" w:lineRule="auto"/>
        <w:rPr>
          <w:rFonts w:hint="eastAsia" w:ascii="宋体" w:hAnsi="宋体" w:eastAsia="宋体" w:cs="宋体"/>
          <w:b w:val="0"/>
          <w:sz w:val="20"/>
          <w:highlight w:val="none"/>
          <w:lang w:eastAsia="zh-CN"/>
        </w:rPr>
      </w:pPr>
      <w:r>
        <w:rPr>
          <w:highlight w:val="none"/>
        </w:rPr>
        <w:fldChar w:fldCharType="begin"/>
      </w:r>
      <w:r>
        <w:rPr>
          <w:highlight w:val="none"/>
        </w:rPr>
        <w:instrText xml:space="preserve"> HYPERLINK \l "_Toc68115918" </w:instrText>
      </w:r>
      <w:r>
        <w:rPr>
          <w:highlight w:val="none"/>
        </w:rPr>
        <w:fldChar w:fldCharType="separate"/>
      </w:r>
      <w:r>
        <w:rPr>
          <w:rStyle w:val="18"/>
          <w:rFonts w:hint="eastAsia" w:ascii="宋体" w:hAnsi="宋体" w:cs="宋体"/>
          <w:color w:val="auto"/>
          <w:kern w:val="0"/>
          <w:sz w:val="20"/>
          <w:highlight w:val="none"/>
        </w:rPr>
        <w:t>第四章  合同主要条款</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rPr>
        <w:t>1</w:t>
      </w:r>
      <w:r>
        <w:rPr>
          <w:rFonts w:hint="eastAsia" w:ascii="宋体" w:hAnsi="宋体" w:cs="宋体"/>
          <w:sz w:val="20"/>
          <w:highlight w:val="none"/>
          <w:lang w:val="en-US" w:eastAsia="zh-CN"/>
        </w:rPr>
        <w:t>2</w:t>
      </w:r>
    </w:p>
    <w:p w14:paraId="6A4FB4A5">
      <w:pPr>
        <w:pStyle w:val="10"/>
        <w:tabs>
          <w:tab w:val="right" w:leader="dot" w:pos="9459"/>
          <w:tab w:val="clear" w:pos="8302"/>
        </w:tabs>
        <w:spacing w:line="240" w:lineRule="auto"/>
        <w:rPr>
          <w:rFonts w:hint="eastAsia" w:ascii="宋体" w:hAnsi="宋体" w:eastAsia="宋体" w:cs="宋体"/>
          <w:b w:val="0"/>
          <w:sz w:val="20"/>
          <w:highlight w:val="none"/>
          <w:lang w:eastAsia="zh-CN"/>
        </w:rPr>
      </w:pPr>
      <w:r>
        <w:rPr>
          <w:highlight w:val="none"/>
        </w:rPr>
        <w:fldChar w:fldCharType="begin"/>
      </w:r>
      <w:r>
        <w:rPr>
          <w:highlight w:val="none"/>
        </w:rPr>
        <w:instrText xml:space="preserve"> HYPERLINK \l "_Toc68115920" </w:instrText>
      </w:r>
      <w:r>
        <w:rPr>
          <w:highlight w:val="none"/>
        </w:rPr>
        <w:fldChar w:fldCharType="separate"/>
      </w:r>
      <w:r>
        <w:rPr>
          <w:rStyle w:val="18"/>
          <w:rFonts w:hint="eastAsia" w:ascii="宋体" w:hAnsi="宋体" w:cs="宋体"/>
          <w:color w:val="auto"/>
          <w:sz w:val="20"/>
          <w:highlight w:val="none"/>
        </w:rPr>
        <w:t>第</w:t>
      </w:r>
      <w:r>
        <w:rPr>
          <w:rStyle w:val="18"/>
          <w:rFonts w:hint="eastAsia" w:ascii="宋体" w:hAnsi="宋体" w:cs="宋体"/>
          <w:color w:val="auto"/>
          <w:sz w:val="20"/>
          <w:highlight w:val="none"/>
          <w:lang w:val="en-US" w:eastAsia="zh-CN"/>
        </w:rPr>
        <w:t>五</w:t>
      </w:r>
      <w:r>
        <w:rPr>
          <w:rStyle w:val="18"/>
          <w:rFonts w:hint="eastAsia" w:ascii="宋体" w:hAnsi="宋体" w:cs="宋体"/>
          <w:color w:val="auto"/>
          <w:sz w:val="20"/>
          <w:highlight w:val="none"/>
        </w:rPr>
        <w:t>章  参选文件格式</w:t>
      </w:r>
      <w:r>
        <w:rPr>
          <w:rFonts w:hint="eastAsia" w:ascii="宋体" w:hAnsi="宋体" w:cs="宋体"/>
          <w:sz w:val="20"/>
          <w:highlight w:val="none"/>
        </w:rPr>
        <w:tab/>
      </w:r>
      <w:r>
        <w:rPr>
          <w:rFonts w:hint="eastAsia" w:ascii="宋体" w:hAnsi="宋体" w:cs="宋体"/>
          <w:sz w:val="20"/>
          <w:highlight w:val="none"/>
        </w:rPr>
        <w:fldChar w:fldCharType="end"/>
      </w:r>
      <w:r>
        <w:rPr>
          <w:rFonts w:hint="eastAsia" w:ascii="宋体" w:hAnsi="宋体" w:cs="宋体"/>
          <w:sz w:val="20"/>
          <w:highlight w:val="none"/>
        </w:rPr>
        <w:t>1</w:t>
      </w:r>
      <w:r>
        <w:rPr>
          <w:rFonts w:hint="eastAsia" w:ascii="宋体" w:hAnsi="宋体" w:cs="宋体"/>
          <w:sz w:val="20"/>
          <w:highlight w:val="none"/>
          <w:lang w:val="en-US" w:eastAsia="zh-CN"/>
        </w:rPr>
        <w:t>5</w:t>
      </w:r>
    </w:p>
    <w:p w14:paraId="17B08ADE">
      <w:pPr>
        <w:spacing w:line="560" w:lineRule="exact"/>
        <w:jc w:val="center"/>
        <w:rPr>
          <w:rFonts w:ascii="宋体" w:hAnsi="宋体" w:cs="宋体"/>
          <w:bCs/>
          <w:sz w:val="20"/>
          <w:szCs w:val="20"/>
          <w:highlight w:val="none"/>
          <w:lang w:val="zh-CN"/>
        </w:rPr>
      </w:pPr>
      <w:r>
        <w:rPr>
          <w:rFonts w:hint="eastAsia" w:ascii="宋体" w:hAnsi="宋体" w:cs="宋体"/>
          <w:bCs/>
          <w:sz w:val="20"/>
          <w:szCs w:val="20"/>
          <w:highlight w:val="none"/>
          <w:lang w:val="zh-CN"/>
        </w:rPr>
        <w:fldChar w:fldCharType="end"/>
      </w:r>
    </w:p>
    <w:p w14:paraId="6C0A33F5">
      <w:pPr>
        <w:spacing w:line="560" w:lineRule="exact"/>
        <w:jc w:val="center"/>
        <w:rPr>
          <w:rFonts w:ascii="宋体" w:hAnsi="宋体" w:cs="宋体"/>
          <w:bCs/>
          <w:sz w:val="20"/>
          <w:szCs w:val="20"/>
          <w:highlight w:val="none"/>
          <w:lang w:val="zh-CN"/>
        </w:rPr>
      </w:pPr>
    </w:p>
    <w:p w14:paraId="4796A837">
      <w:pPr>
        <w:spacing w:line="560" w:lineRule="exact"/>
        <w:jc w:val="center"/>
        <w:rPr>
          <w:rFonts w:ascii="宋体" w:hAnsi="宋体" w:cs="宋体"/>
          <w:bCs/>
          <w:sz w:val="20"/>
          <w:szCs w:val="20"/>
          <w:highlight w:val="none"/>
          <w:lang w:val="zh-CN"/>
        </w:rPr>
      </w:pPr>
    </w:p>
    <w:p w14:paraId="526C6EAB">
      <w:pPr>
        <w:spacing w:line="560" w:lineRule="exact"/>
        <w:jc w:val="center"/>
        <w:rPr>
          <w:rFonts w:ascii="宋体" w:hAnsi="宋体" w:cs="宋体"/>
          <w:bCs/>
          <w:sz w:val="20"/>
          <w:szCs w:val="20"/>
          <w:highlight w:val="none"/>
          <w:lang w:val="zh-CN"/>
        </w:rPr>
      </w:pPr>
    </w:p>
    <w:p w14:paraId="79383923">
      <w:pPr>
        <w:spacing w:line="560" w:lineRule="exact"/>
        <w:jc w:val="center"/>
        <w:rPr>
          <w:rFonts w:ascii="宋体" w:hAnsi="宋体" w:cs="宋体"/>
          <w:bCs/>
          <w:sz w:val="20"/>
          <w:szCs w:val="20"/>
          <w:highlight w:val="none"/>
          <w:lang w:val="zh-CN"/>
        </w:rPr>
      </w:pPr>
    </w:p>
    <w:p w14:paraId="2858595B">
      <w:pPr>
        <w:spacing w:line="560" w:lineRule="exact"/>
        <w:jc w:val="center"/>
        <w:rPr>
          <w:rFonts w:ascii="宋体" w:hAnsi="宋体" w:cs="宋体"/>
          <w:bCs/>
          <w:sz w:val="20"/>
          <w:szCs w:val="20"/>
          <w:highlight w:val="none"/>
          <w:lang w:val="zh-CN"/>
        </w:rPr>
      </w:pPr>
    </w:p>
    <w:p w14:paraId="064A5809">
      <w:pPr>
        <w:spacing w:line="560" w:lineRule="exact"/>
        <w:jc w:val="center"/>
        <w:rPr>
          <w:rFonts w:ascii="宋体" w:hAnsi="宋体" w:cs="宋体"/>
          <w:bCs/>
          <w:sz w:val="20"/>
          <w:szCs w:val="20"/>
          <w:highlight w:val="none"/>
          <w:lang w:val="zh-CN"/>
        </w:rPr>
      </w:pPr>
    </w:p>
    <w:p w14:paraId="4A695650">
      <w:pPr>
        <w:spacing w:line="560" w:lineRule="exact"/>
        <w:jc w:val="center"/>
        <w:rPr>
          <w:rFonts w:ascii="宋体" w:hAnsi="宋体" w:cs="宋体"/>
          <w:bCs/>
          <w:sz w:val="20"/>
          <w:szCs w:val="20"/>
          <w:highlight w:val="none"/>
          <w:lang w:val="zh-CN"/>
        </w:rPr>
      </w:pPr>
    </w:p>
    <w:p w14:paraId="305AF220">
      <w:pPr>
        <w:spacing w:line="560" w:lineRule="exact"/>
        <w:jc w:val="center"/>
        <w:rPr>
          <w:rFonts w:ascii="宋体" w:hAnsi="宋体" w:cs="宋体"/>
          <w:bCs/>
          <w:sz w:val="20"/>
          <w:szCs w:val="20"/>
          <w:highlight w:val="none"/>
          <w:lang w:val="zh-CN"/>
        </w:rPr>
      </w:pPr>
    </w:p>
    <w:p w14:paraId="68EDFD69">
      <w:pPr>
        <w:spacing w:line="560" w:lineRule="exact"/>
        <w:jc w:val="center"/>
        <w:rPr>
          <w:rFonts w:ascii="宋体" w:hAnsi="宋体" w:cs="宋体"/>
          <w:bCs/>
          <w:sz w:val="20"/>
          <w:szCs w:val="20"/>
          <w:highlight w:val="none"/>
          <w:lang w:val="zh-CN"/>
        </w:rPr>
      </w:pPr>
    </w:p>
    <w:p w14:paraId="1FE44AAD">
      <w:pPr>
        <w:spacing w:line="560" w:lineRule="exact"/>
        <w:jc w:val="center"/>
        <w:rPr>
          <w:rFonts w:ascii="宋体" w:hAnsi="宋体" w:cs="宋体"/>
          <w:bCs/>
          <w:sz w:val="20"/>
          <w:szCs w:val="20"/>
          <w:highlight w:val="none"/>
          <w:lang w:val="zh-CN"/>
        </w:rPr>
      </w:pPr>
    </w:p>
    <w:p w14:paraId="66B4B468">
      <w:pPr>
        <w:rPr>
          <w:lang w:val="zh-CN"/>
        </w:rPr>
      </w:pPr>
      <w:r>
        <w:rPr>
          <w:lang w:val="zh-CN"/>
        </w:rPr>
        <w:br w:type="page"/>
      </w:r>
    </w:p>
    <w:p w14:paraId="0897CE67">
      <w:pPr>
        <w:pStyle w:val="12"/>
        <w:rPr>
          <w:lang w:val="zh-CN"/>
        </w:rPr>
      </w:pPr>
    </w:p>
    <w:p w14:paraId="6A4B35F0">
      <w:pPr>
        <w:pStyle w:val="2"/>
        <w:spacing w:line="360" w:lineRule="auto"/>
        <w:jc w:val="center"/>
        <w:rPr>
          <w:rFonts w:ascii="宋体" w:hAnsi="宋体"/>
          <w:snapToGrid w:val="0"/>
          <w:kern w:val="0"/>
          <w:highlight w:val="none"/>
        </w:rPr>
      </w:pPr>
      <w:r>
        <w:rPr>
          <w:rFonts w:ascii="宋体" w:hAnsi="宋体"/>
          <w:snapToGrid w:val="0"/>
          <w:kern w:val="0"/>
          <w:highlight w:val="none"/>
        </w:rPr>
        <w:t xml:space="preserve">第一章  </w:t>
      </w:r>
      <w:r>
        <w:rPr>
          <w:rFonts w:hint="eastAsia" w:ascii="宋体" w:hAnsi="宋体"/>
          <w:snapToGrid w:val="0"/>
          <w:kern w:val="0"/>
          <w:highlight w:val="none"/>
        </w:rPr>
        <w:t>比选公告</w:t>
      </w:r>
    </w:p>
    <w:p w14:paraId="73433767">
      <w:pPr>
        <w:autoSpaceDE w:val="0"/>
        <w:autoSpaceDN w:val="0"/>
        <w:adjustRightInd w:val="0"/>
        <w:snapToGrid w:val="0"/>
        <w:spacing w:line="360" w:lineRule="auto"/>
        <w:jc w:val="center"/>
        <w:outlineLvl w:val="1"/>
        <w:rPr>
          <w:rFonts w:hint="eastAsia" w:ascii="宋体" w:hAnsi="宋体" w:eastAsia="宋体" w:cs="宋体"/>
          <w:b/>
          <w:bCs/>
          <w:snapToGrid w:val="0"/>
          <w:w w:val="99"/>
          <w:kern w:val="0"/>
          <w:sz w:val="28"/>
          <w:szCs w:val="28"/>
          <w:highlight w:val="none"/>
        </w:rPr>
      </w:pPr>
      <w:r>
        <w:rPr>
          <w:rFonts w:hint="eastAsia" w:ascii="宋体" w:hAnsi="宋体" w:eastAsia="宋体" w:cs="宋体"/>
          <w:b/>
          <w:bCs/>
          <w:snapToGrid w:val="0"/>
          <w:kern w:val="0"/>
          <w:sz w:val="28"/>
          <w:szCs w:val="28"/>
          <w:highlight w:val="none"/>
          <w:lang w:val="en-US" w:eastAsia="zh-CN"/>
        </w:rPr>
        <w:t>阿依河景区非遗工坊改造及环境布置EPC工程</w:t>
      </w:r>
      <w:r>
        <w:rPr>
          <w:rFonts w:hint="eastAsia" w:ascii="宋体" w:hAnsi="宋体" w:eastAsia="宋体" w:cs="宋体"/>
          <w:b/>
          <w:bCs/>
          <w:snapToGrid w:val="0"/>
          <w:kern w:val="0"/>
          <w:sz w:val="28"/>
          <w:szCs w:val="28"/>
          <w:highlight w:val="none"/>
        </w:rPr>
        <w:t>比选公告</w:t>
      </w:r>
    </w:p>
    <w:p w14:paraId="7E3F911B">
      <w:pPr>
        <w:pStyle w:val="3"/>
        <w:pageBreakBefore w:val="0"/>
        <w:widowControl w:val="0"/>
        <w:kinsoku/>
        <w:wordWrap/>
        <w:overflowPunct/>
        <w:topLinePunct w:val="0"/>
        <w:bidi w:val="0"/>
        <w:spacing w:before="0" w:after="0" w:line="400" w:lineRule="exact"/>
        <w:textAlignment w:val="auto"/>
        <w:rPr>
          <w:rFonts w:hint="default" w:ascii="宋体" w:hAnsi="宋体" w:eastAsia="宋体"/>
          <w:snapToGrid w:val="0"/>
          <w:sz w:val="28"/>
          <w:szCs w:val="28"/>
          <w:highlight w:val="none"/>
          <w:lang w:val="en-US" w:eastAsia="zh-CN"/>
        </w:rPr>
      </w:pPr>
      <w:r>
        <w:rPr>
          <w:rFonts w:hint="eastAsia" w:ascii="宋体" w:hAnsi="宋体"/>
          <w:snapToGrid w:val="0"/>
          <w:sz w:val="28"/>
          <w:szCs w:val="28"/>
          <w:highlight w:val="none"/>
          <w:lang w:val="en-US" w:eastAsia="zh-CN"/>
        </w:rPr>
        <w:t>1.比选条件</w:t>
      </w:r>
    </w:p>
    <w:p w14:paraId="291A40F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sz w:val="20"/>
          <w:szCs w:val="22"/>
          <w:highlight w:val="none"/>
        </w:rPr>
      </w:pPr>
      <w:r>
        <w:rPr>
          <w:rFonts w:ascii="宋体" w:hAnsi="宋体"/>
          <w:snapToGrid w:val="0"/>
          <w:kern w:val="0"/>
          <w:szCs w:val="21"/>
          <w:highlight w:val="none"/>
        </w:rPr>
        <w:t>本比选项目</w:t>
      </w:r>
      <w:r>
        <w:rPr>
          <w:rFonts w:hint="eastAsia" w:ascii="宋体" w:hAnsi="宋体"/>
          <w:snapToGrid w:val="0"/>
          <w:kern w:val="0"/>
          <w:szCs w:val="21"/>
          <w:highlight w:val="none"/>
          <w:lang w:val="en-US" w:eastAsia="zh-CN"/>
        </w:rPr>
        <w:t>阿依河景区非遗工坊改造及环境布置EPC工程</w:t>
      </w:r>
      <w:r>
        <w:rPr>
          <w:rFonts w:ascii="宋体" w:hAnsi="宋体"/>
          <w:snapToGrid w:val="0"/>
          <w:kern w:val="0"/>
          <w:szCs w:val="21"/>
          <w:highlight w:val="none"/>
        </w:rPr>
        <w:t>，项目业主为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szCs w:val="21"/>
          <w:highlight w:val="none"/>
        </w:rPr>
        <w:t>，资金来自</w:t>
      </w:r>
      <w:r>
        <w:rPr>
          <w:rFonts w:hint="eastAsia" w:ascii="宋体" w:hAnsi="宋体"/>
          <w:snapToGrid w:val="0"/>
          <w:kern w:val="0"/>
          <w:szCs w:val="21"/>
          <w:highlight w:val="none"/>
          <w:u w:val="single"/>
        </w:rPr>
        <w:t>自筹</w:t>
      </w:r>
      <w:r>
        <w:rPr>
          <w:rFonts w:ascii="宋体" w:hAnsi="宋体"/>
          <w:snapToGrid w:val="0"/>
          <w:kern w:val="0"/>
          <w:szCs w:val="21"/>
          <w:highlight w:val="none"/>
        </w:rPr>
        <w:t>，项目出资比例为</w:t>
      </w:r>
      <w:r>
        <w:rPr>
          <w:rFonts w:ascii="宋体" w:hAnsi="宋体"/>
          <w:snapToGrid w:val="0"/>
          <w:kern w:val="0"/>
          <w:szCs w:val="21"/>
          <w:highlight w:val="none"/>
          <w:u w:val="single"/>
        </w:rPr>
        <w:t>100%</w:t>
      </w:r>
      <w:r>
        <w:rPr>
          <w:rFonts w:ascii="宋体" w:hAnsi="宋体"/>
          <w:snapToGrid w:val="0"/>
          <w:kern w:val="0"/>
          <w:szCs w:val="21"/>
          <w:highlight w:val="none"/>
        </w:rPr>
        <w:t>，比选人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重庆乌江画廊旅游开发有限公司阿依河分公司</w:t>
      </w:r>
      <w:r>
        <w:rPr>
          <w:rFonts w:ascii="宋体" w:hAnsi="宋体"/>
          <w:snapToGrid w:val="0"/>
          <w:kern w:val="0"/>
          <w:position w:val="-2"/>
          <w:szCs w:val="21"/>
          <w:highlight w:val="none"/>
        </w:rPr>
        <w:t>。项目已具备比选条件，</w:t>
      </w:r>
      <w:r>
        <w:rPr>
          <w:rFonts w:hint="eastAsia" w:ascii="宋体" w:hAnsi="宋体"/>
          <w:snapToGrid w:val="0"/>
          <w:kern w:val="0"/>
          <w:position w:val="-2"/>
          <w:szCs w:val="21"/>
          <w:highlight w:val="none"/>
        </w:rPr>
        <w:t>现对本项目进行公开比选</w:t>
      </w:r>
      <w:r>
        <w:rPr>
          <w:rFonts w:ascii="宋体" w:hAnsi="宋体"/>
          <w:snapToGrid w:val="0"/>
          <w:kern w:val="0"/>
          <w:position w:val="-2"/>
          <w:szCs w:val="21"/>
          <w:highlight w:val="none"/>
        </w:rPr>
        <w:t>。</w:t>
      </w:r>
    </w:p>
    <w:p w14:paraId="26E4A723">
      <w:pPr>
        <w:pStyle w:val="3"/>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2.</w:t>
      </w:r>
      <w:r>
        <w:rPr>
          <w:rFonts w:ascii="宋体" w:hAnsi="宋体"/>
          <w:snapToGrid w:val="0"/>
          <w:sz w:val="28"/>
          <w:szCs w:val="28"/>
          <w:highlight w:val="none"/>
        </w:rPr>
        <w:t>项目概况与比选范围</w:t>
      </w:r>
    </w:p>
    <w:p w14:paraId="1F9CBFFF">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cs="Times New Roman"/>
          <w:snapToGrid w:val="0"/>
          <w:kern w:val="0"/>
          <w:szCs w:val="21"/>
          <w:highlight w:val="none"/>
          <w:u w:val="single"/>
          <w:lang w:val="en-US"/>
        </w:rPr>
      </w:pPr>
      <w:r>
        <w:rPr>
          <w:rFonts w:hint="eastAsia" w:ascii="宋体" w:hAnsi="宋体"/>
          <w:b/>
          <w:bCs/>
          <w:snapToGrid w:val="0"/>
          <w:kern w:val="0"/>
          <w:szCs w:val="21"/>
          <w:highlight w:val="none"/>
        </w:rPr>
        <w:t>2.1项目地点：</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w:t>
      </w:r>
    </w:p>
    <w:p w14:paraId="6CE59B82">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b/>
          <w:bCs/>
          <w:snapToGrid w:val="0"/>
          <w:kern w:val="0"/>
          <w:szCs w:val="21"/>
          <w:highlight w:val="none"/>
        </w:rPr>
        <w:t>2.2项目概况：</w:t>
      </w:r>
      <w:r>
        <w:rPr>
          <w:rFonts w:hint="eastAsia" w:ascii="宋体" w:hAnsi="宋体"/>
          <w:snapToGrid w:val="0"/>
          <w:kern w:val="0"/>
          <w:szCs w:val="21"/>
          <w:highlight w:val="none"/>
          <w:u w:val="single"/>
        </w:rPr>
        <w:t>本项目</w:t>
      </w:r>
      <w:r>
        <w:rPr>
          <w:rFonts w:hint="eastAsia" w:ascii="宋体" w:hAnsi="宋体"/>
          <w:snapToGrid w:val="0"/>
          <w:kern w:val="0"/>
          <w:szCs w:val="21"/>
          <w:highlight w:val="none"/>
          <w:u w:val="single"/>
          <w:lang w:val="en-US" w:eastAsia="zh-CN"/>
        </w:rPr>
        <w:t>中</w:t>
      </w:r>
      <w:r>
        <w:rPr>
          <w:rFonts w:hint="eastAsia" w:ascii="宋体" w:hAnsi="宋体" w:eastAsia="宋体" w:cs="Times New Roman"/>
          <w:snapToGrid w:val="0"/>
          <w:kern w:val="0"/>
          <w:szCs w:val="21"/>
          <w:highlight w:val="none"/>
          <w:u w:val="single"/>
          <w:lang w:val="en-US" w:eastAsia="zh-CN"/>
        </w:rPr>
        <w:t>阿依河景区非遗工坊改造及环境布置所涉及面积约370㎡（其中露台170㎡，室内200㎡，总金额暂定约40万元，最终以甲方确定为准。比选人拟通过对阿依河景区接待中心1号楼进行微</w:t>
      </w:r>
      <w:r>
        <w:rPr>
          <w:rFonts w:hint="eastAsia" w:ascii="宋体" w:hAnsi="宋体"/>
          <w:snapToGrid w:val="0"/>
          <w:kern w:val="0"/>
          <w:szCs w:val="21"/>
          <w:highlight w:val="none"/>
          <w:u w:val="single"/>
          <w:lang w:val="en-US" w:eastAsia="zh-CN"/>
        </w:rPr>
        <w:t>改造和环境布置升级，通过“</w:t>
      </w:r>
      <w:r>
        <w:rPr>
          <w:rFonts w:hint="eastAsia" w:ascii="宋体" w:hAnsi="宋体" w:eastAsia="宋体" w:cs="Times New Roman"/>
          <w:snapToGrid w:val="0"/>
          <w:kern w:val="0"/>
          <w:sz w:val="21"/>
          <w:szCs w:val="21"/>
          <w:highlight w:val="none"/>
          <w:u w:val="single"/>
          <w:lang w:val="en-US" w:eastAsia="zh-CN" w:bidi="ar-SA"/>
        </w:rPr>
        <w:t>见人见物见生活”的非遗传承理念</w:t>
      </w:r>
      <w:r>
        <w:rPr>
          <w:rFonts w:hint="eastAsia" w:ascii="宋体" w:hAnsi="宋体"/>
          <w:snapToGrid w:val="0"/>
          <w:kern w:val="0"/>
          <w:szCs w:val="21"/>
          <w:highlight w:val="none"/>
          <w:u w:val="single"/>
          <w:lang w:val="en-US" w:eastAsia="zh-CN"/>
        </w:rPr>
        <w:t>，适当进行微改造、增加设施、环境布置以满足休息区功能，营造视角吸引点和打卡场景。</w:t>
      </w:r>
    </w:p>
    <w:p w14:paraId="4E98E4F6">
      <w:pPr>
        <w:pStyle w:val="11"/>
        <w:keepNext w:val="0"/>
        <w:keepLines w:val="0"/>
        <w:widowControl/>
        <w:suppressLineNumbers w:val="0"/>
        <w:rPr>
          <w:rFonts w:hint="eastAsia" w:ascii="宋体" w:hAnsi="宋体" w:eastAsia="宋体" w:cs="Times New Roman"/>
          <w:snapToGrid w:val="0"/>
          <w:kern w:val="0"/>
          <w:sz w:val="21"/>
          <w:szCs w:val="21"/>
          <w:highlight w:val="none"/>
          <w:u w:val="single"/>
          <w:lang w:val="en-US" w:eastAsia="zh-CN" w:bidi="ar-SA"/>
        </w:rPr>
      </w:pPr>
      <w:r>
        <w:rPr>
          <w:rFonts w:hint="eastAsia" w:ascii="宋体" w:hAnsi="宋体" w:eastAsia="宋体" w:cs="Times New Roman"/>
          <w:snapToGrid w:val="0"/>
          <w:kern w:val="0"/>
          <w:sz w:val="21"/>
          <w:szCs w:val="21"/>
          <w:highlight w:val="none"/>
          <w:u w:val="single"/>
          <w:lang w:val="en-US" w:eastAsia="zh-CN" w:bidi="ar-SA"/>
        </w:rPr>
        <w:t xml:space="preserve">    主要改造内容如下：①室内环境提升：以“见人见物见生活”为非遗传承理念，入口处复刻苗族银饰“牛角冠”打造艺术装置，结合LED背光形成视觉焦点。室内整合三大功能区：非遗体验区配置传统锻银台，墙面嵌入工具陈列架；展示区采用阶梯式展柜搭配数字化投影，动态呈现技艺流程。配套定制“百鸟衣”纹样储物柜与书架，照明采用“竹编主灯+轨道射灯+洗墙灯”三层系统，精准凸显非遗作品的材质肌理。②室外庭院营造：依托图纸中的露天区域，解构苗族干栏式建筑元素，搭建茅草顶休憩亭与实木观景平台，打造“非遗晒场”打卡点。地面铺装融入蜡染“涡妥纹”与梯田线条，搭配垂直绿植墙与蓝靛染布幔，强化民族辨识度。③美陈与标识系统：改造沿街屋檐为吊脚楼翘角造型，增设枫木图腾柱与互动拍照框。导视系统提取苗绣“红、黑、蓝”经典配色，结合凿花工艺设计双语标识牌。公共区域点缀苗族老银饰等收藏级摆件，并在关键动线设置AR互动屏，扫码即可触发非遗匠人的口述历史，实现空间的文化叙事与沉浸式引导。</w:t>
      </w:r>
    </w:p>
    <w:p w14:paraId="5877ED0E">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b/>
          <w:bCs/>
          <w:snapToGrid w:val="0"/>
          <w:kern w:val="0"/>
          <w:szCs w:val="21"/>
          <w:highlight w:val="none"/>
        </w:rPr>
        <w:t>2.3比选范围</w:t>
      </w:r>
      <w:r>
        <w:rPr>
          <w:rFonts w:hint="eastAsia" w:ascii="宋体" w:hAnsi="宋体"/>
          <w:b/>
          <w:bCs/>
          <w:snapToGrid w:val="0"/>
          <w:kern w:val="0"/>
          <w:szCs w:val="21"/>
          <w:highlight w:val="none"/>
          <w:lang w:val="en-US" w:eastAsia="zh-CN"/>
        </w:rPr>
        <w:t>及服务内容</w:t>
      </w:r>
      <w:r>
        <w:rPr>
          <w:rFonts w:hint="eastAsia" w:ascii="宋体" w:hAnsi="宋体"/>
          <w:b/>
          <w:bCs/>
          <w:snapToGrid w:val="0"/>
          <w:kern w:val="0"/>
          <w:szCs w:val="21"/>
          <w:highlight w:val="none"/>
        </w:rPr>
        <w:t>：</w:t>
      </w:r>
      <w:r>
        <w:rPr>
          <w:rFonts w:hint="eastAsia" w:ascii="宋体" w:hAnsi="宋体"/>
          <w:snapToGrid w:val="0"/>
          <w:kern w:val="0"/>
          <w:szCs w:val="21"/>
          <w:highlight w:val="none"/>
          <w:u w:val="single"/>
          <w:lang w:val="en-US" w:eastAsia="zh-CN"/>
        </w:rPr>
        <w:t>主要包括准备阶段，方案设计、装饰工程施工图设计及其他相关设计，装修施工及环境布置等内容，具体范围为：</w:t>
      </w:r>
    </w:p>
    <w:p w14:paraId="6993F2A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2.3.1准备阶段工作内容</w:t>
      </w:r>
    </w:p>
    <w:p w14:paraId="4059508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本项目的前期现场勘察（测绘、摸底），包括但不限于对设计所涉区域的原始资料搜集（施工图资料、阿依河景区接待中心1号楼设计资料等）、必要的现状补充测绘、评估等。</w:t>
      </w:r>
    </w:p>
    <w:p w14:paraId="31FD414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2.3.2方案设计阶段工作内容</w:t>
      </w:r>
    </w:p>
    <w:p w14:paraId="65DB2E4E">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根据比选人指定的本次</w:t>
      </w:r>
      <w:r>
        <w:rPr>
          <w:rFonts w:hint="eastAsia" w:ascii="宋体" w:hAnsi="宋体" w:eastAsia="宋体" w:cs="Times New Roman"/>
          <w:snapToGrid w:val="0"/>
          <w:kern w:val="0"/>
          <w:szCs w:val="21"/>
          <w:highlight w:val="none"/>
          <w:u w:val="single"/>
          <w:lang w:val="en-US" w:eastAsia="zh-CN"/>
        </w:rPr>
        <w:t>阿依河景区非遗工坊改造及环境</w:t>
      </w:r>
      <w:r>
        <w:rPr>
          <w:rFonts w:hint="eastAsia" w:ascii="宋体" w:hAnsi="宋体"/>
          <w:snapToGrid w:val="0"/>
          <w:kern w:val="0"/>
          <w:szCs w:val="21"/>
          <w:highlight w:val="none"/>
          <w:u w:val="single"/>
          <w:lang w:val="en-US" w:eastAsia="zh-CN"/>
        </w:rPr>
        <w:t>布置所涉及的范围完成方案设计，并报比选人审批。</w:t>
      </w:r>
    </w:p>
    <w:p w14:paraId="59B0740B">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包括但不限于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进行方案设计，成果应达到报比选人审查及概算编制依据深度。</w:t>
      </w:r>
    </w:p>
    <w:p w14:paraId="2B7559D9">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2.3.2装饰工程施工图设计阶段工作内容</w:t>
      </w:r>
    </w:p>
    <w:p w14:paraId="689CA81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根据比选人审定的方案设计进行施工图设计，同时编制工程预算清单，并报比选人审批。</w:t>
      </w:r>
    </w:p>
    <w:p w14:paraId="2736E57C">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yellow"/>
          <w:u w:val="single"/>
          <w:lang w:val="en-US" w:eastAsia="zh-CN"/>
        </w:rPr>
      </w:pPr>
      <w:r>
        <w:rPr>
          <w:rFonts w:hint="eastAsia" w:ascii="宋体" w:hAnsi="宋体"/>
          <w:snapToGrid w:val="0"/>
          <w:kern w:val="0"/>
          <w:szCs w:val="21"/>
          <w:highlight w:val="none"/>
          <w:u w:val="single"/>
          <w:lang w:val="en-US" w:eastAsia="zh-CN"/>
        </w:rPr>
        <w:t>项目装饰工程施工图设计内容包括但不限于以下内容：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进行施工图设计。</w:t>
      </w:r>
    </w:p>
    <w:p w14:paraId="5CC0C32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2.3.3施工阶段工作内容</w:t>
      </w:r>
    </w:p>
    <w:p w14:paraId="2140B901">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施工图、预算等文件进行样改造施工，内容包括但不限于以下内容：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进行施工作业。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2CA111C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default" w:ascii="宋体" w:hAnsi="宋体" w:eastAsia="宋体"/>
          <w:b/>
          <w:bCs/>
          <w:snapToGrid w:val="0"/>
          <w:kern w:val="0"/>
          <w:szCs w:val="21"/>
          <w:highlight w:val="none"/>
          <w:lang w:val="en-US" w:eastAsia="zh-CN"/>
        </w:rPr>
      </w:pPr>
      <w:r>
        <w:rPr>
          <w:rFonts w:hint="eastAsia" w:ascii="宋体" w:hAnsi="宋体"/>
          <w:b/>
          <w:bCs/>
          <w:snapToGrid w:val="0"/>
          <w:kern w:val="0"/>
          <w:szCs w:val="21"/>
          <w:highlight w:val="none"/>
        </w:rPr>
        <w:t>2.4工期要求：</w:t>
      </w:r>
    </w:p>
    <w:p w14:paraId="39B902F7">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中选人在收到比选人开展阶段性或单个专业或区域设计工作通知后</w:t>
      </w:r>
      <w:r>
        <w:rPr>
          <w:rFonts w:hint="eastAsia" w:ascii="宋体" w:hAnsi="宋体"/>
          <w:snapToGrid w:val="0"/>
          <w:kern w:val="0"/>
          <w:szCs w:val="21"/>
          <w:highlight w:val="none"/>
          <w:u w:val="single"/>
          <w:lang w:val="en-US" w:eastAsia="zh-CN"/>
        </w:rPr>
        <w:t>1</w:t>
      </w:r>
      <w:r>
        <w:rPr>
          <w:rFonts w:hint="eastAsia" w:ascii="宋体" w:hAnsi="宋体"/>
          <w:snapToGrid w:val="0"/>
          <w:kern w:val="0"/>
          <w:szCs w:val="21"/>
          <w:highlight w:val="none"/>
          <w:u w:val="single"/>
        </w:rPr>
        <w:t>个自然日内完成</w:t>
      </w:r>
      <w:r>
        <w:rPr>
          <w:rFonts w:hint="eastAsia" w:ascii="宋体" w:hAnsi="宋体"/>
          <w:snapToGrid w:val="0"/>
          <w:kern w:val="0"/>
          <w:szCs w:val="21"/>
          <w:highlight w:val="none"/>
          <w:u w:val="single"/>
          <w:lang w:val="en-US" w:eastAsia="zh-CN"/>
        </w:rPr>
        <w:t>对本次设计所涉及区域现状的勘测、调查、评估（准备阶段）；在现状勘测工作完成后3自然日内完成本次设计所涉及区域的方案设计（方案设计阶段）；在比选人明确方案设计后在7个自然日内完成施工图设计及预算编制（装饰工程施工图设计阶段）；在比选人明确施工图设计和预算后，在20个自然日内完成施工。</w:t>
      </w:r>
      <w:r>
        <w:rPr>
          <w:rFonts w:hint="eastAsia" w:ascii="宋体" w:hAnsi="宋体"/>
          <w:snapToGrid w:val="0"/>
          <w:kern w:val="0"/>
          <w:szCs w:val="21"/>
          <w:highlight w:val="none"/>
          <w:u w:val="single"/>
        </w:rPr>
        <w:t>最终完成时限根据项目实际情况以及比选人要求确定。</w:t>
      </w:r>
    </w:p>
    <w:p w14:paraId="1DDD90A4">
      <w:pPr>
        <w:pStyle w:val="3"/>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3.</w:t>
      </w:r>
      <w:r>
        <w:rPr>
          <w:rFonts w:ascii="宋体" w:hAnsi="宋体"/>
          <w:snapToGrid w:val="0"/>
          <w:sz w:val="28"/>
          <w:szCs w:val="28"/>
          <w:highlight w:val="none"/>
        </w:rPr>
        <w:t>参选人资格要求</w:t>
      </w:r>
    </w:p>
    <w:p w14:paraId="4A34F25E">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2" w:firstLineChars="200"/>
        <w:jc w:val="left"/>
        <w:textAlignment w:val="auto"/>
        <w:outlineLvl w:val="2"/>
        <w:rPr>
          <w:rFonts w:hint="eastAsia" w:ascii="宋体" w:hAnsi="宋体" w:eastAsia="宋体"/>
          <w:b/>
          <w:bCs/>
          <w:snapToGrid w:val="0"/>
          <w:kern w:val="0"/>
          <w:szCs w:val="21"/>
          <w:highlight w:val="none"/>
          <w:lang w:eastAsia="zh-CN"/>
        </w:rPr>
      </w:pPr>
      <w:r>
        <w:rPr>
          <w:rFonts w:hint="eastAsia" w:ascii="宋体" w:hAnsi="宋体"/>
          <w:b/>
          <w:bCs/>
          <w:snapToGrid w:val="0"/>
          <w:kern w:val="0"/>
          <w:szCs w:val="21"/>
          <w:highlight w:val="none"/>
        </w:rPr>
        <w:t>3.1资质条件</w:t>
      </w:r>
      <w:r>
        <w:rPr>
          <w:rFonts w:hint="eastAsia" w:ascii="宋体" w:hAnsi="宋体"/>
          <w:b/>
          <w:bCs/>
          <w:snapToGrid w:val="0"/>
          <w:kern w:val="0"/>
          <w:szCs w:val="21"/>
          <w:highlight w:val="none"/>
          <w:lang w:eastAsia="zh-CN"/>
        </w:rPr>
        <w:t>：</w:t>
      </w:r>
    </w:p>
    <w:p w14:paraId="7A2E5C36">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highlight w:val="none"/>
          <w:u w:val="single"/>
        </w:rPr>
        <w:t>（1）</w:t>
      </w:r>
      <w:r>
        <w:rPr>
          <w:rFonts w:hint="eastAsia"/>
          <w:highlight w:val="none"/>
          <w:u w:val="single"/>
          <w:lang w:eastAsia="zh-CN"/>
        </w:rPr>
        <w:t>参选人</w:t>
      </w:r>
      <w:r>
        <w:rPr>
          <w:rFonts w:hint="eastAsia"/>
          <w:highlight w:val="none"/>
          <w:u w:val="single"/>
        </w:rPr>
        <w:t>须具有独立承担民事责任的能力，具有有效的营业执照</w:t>
      </w:r>
      <w:r>
        <w:rPr>
          <w:rFonts w:hint="eastAsia" w:ascii="宋体" w:hAnsi="宋体"/>
          <w:snapToGrid w:val="0"/>
          <w:kern w:val="0"/>
          <w:szCs w:val="21"/>
          <w:highlight w:val="none"/>
          <w:u w:val="single"/>
        </w:rPr>
        <w:t>（须提供有效的营业执照，加盖单位公章，原件备查）</w:t>
      </w:r>
      <w:r>
        <w:rPr>
          <w:rFonts w:hint="eastAsia"/>
          <w:highlight w:val="none"/>
          <w:u w:val="single"/>
        </w:rPr>
        <w:t>；</w:t>
      </w:r>
    </w:p>
    <w:p w14:paraId="46E30C2E">
      <w:pPr>
        <w:pageBreakBefore w:val="0"/>
        <w:widowControl w:val="0"/>
        <w:kinsoku/>
        <w:wordWrap/>
        <w:overflowPunct/>
        <w:topLinePunct w:val="0"/>
        <w:bidi w:val="0"/>
        <w:spacing w:line="400" w:lineRule="exact"/>
        <w:ind w:firstLine="420" w:firstLineChars="200"/>
        <w:textAlignment w:val="auto"/>
        <w:rPr>
          <w:rFonts w:hint="eastAsia" w:eastAsia="宋体"/>
          <w:highlight w:val="none"/>
          <w:u w:val="single"/>
          <w:lang w:val="en-US" w:eastAsia="zh-CN"/>
        </w:rPr>
      </w:pPr>
      <w:r>
        <w:rPr>
          <w:rFonts w:hint="eastAsia"/>
          <w:highlight w:val="none"/>
          <w:u w:val="single"/>
        </w:rPr>
        <w:t>（2）</w:t>
      </w:r>
      <w:r>
        <w:rPr>
          <w:rFonts w:hint="eastAsia"/>
          <w:highlight w:val="none"/>
          <w:u w:val="single"/>
          <w:lang w:val="en-US" w:eastAsia="zh-CN"/>
        </w:rPr>
        <w:t>具备建设行政主管部门颁发的建筑装修装饰工程专业承包二级及以上资质，并承诺中标后提供由具备相应设计资质单位盖章的正式施工图纸（提供资质证书复印件，加盖参选人公章）。</w:t>
      </w:r>
    </w:p>
    <w:p w14:paraId="1086EFDE">
      <w:pPr>
        <w:pageBreakBefore w:val="0"/>
        <w:widowControl w:val="0"/>
        <w:kinsoku/>
        <w:wordWrap/>
        <w:overflowPunct/>
        <w:topLinePunct w:val="0"/>
        <w:bidi w:val="0"/>
        <w:spacing w:line="400" w:lineRule="exact"/>
        <w:ind w:firstLine="422" w:firstLineChars="200"/>
        <w:textAlignment w:val="auto"/>
        <w:outlineLvl w:val="2"/>
        <w:rPr>
          <w:b/>
          <w:bCs/>
          <w:highlight w:val="none"/>
        </w:rPr>
      </w:pPr>
      <w:r>
        <w:rPr>
          <w:rFonts w:hint="eastAsia"/>
          <w:b/>
          <w:bCs/>
          <w:highlight w:val="none"/>
        </w:rPr>
        <w:t>3.2</w:t>
      </w:r>
      <w:r>
        <w:rPr>
          <w:b/>
          <w:bCs/>
          <w:highlight w:val="none"/>
        </w:rPr>
        <w:t>.</w:t>
      </w:r>
      <w:r>
        <w:rPr>
          <w:rFonts w:hint="eastAsia"/>
          <w:b/>
          <w:bCs/>
          <w:highlight w:val="none"/>
          <w:lang w:eastAsia="zh-CN"/>
        </w:rPr>
        <w:t>参选人</w:t>
      </w:r>
      <w:r>
        <w:rPr>
          <w:rFonts w:hint="eastAsia"/>
          <w:b/>
          <w:bCs/>
          <w:highlight w:val="none"/>
        </w:rPr>
        <w:t>自行承诺（格式自拟）不得存在下列情形之一：</w:t>
      </w:r>
    </w:p>
    <w:p w14:paraId="2A7D4B78">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1）被人民法院在“信用中国”网站（www.creditchina.gov.cn）列入失信被执行人名单且在被执行期内；</w:t>
      </w:r>
    </w:p>
    <w:p w14:paraId="70F21040">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2）被列入《重庆市工程建设领域招标投标信用管理暂行办法》规定的重点关注名单且记分达到12分且在记分有效期内；</w:t>
      </w:r>
    </w:p>
    <w:p w14:paraId="4C3FD820">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3）被列入《重庆市工程建设领域招标投标信用管理暂行办法》规定的重庆市工程建设领域招标投标失信惩戒对象名单（以下称黑名单）且在有效期内；</w:t>
      </w:r>
    </w:p>
    <w:p w14:paraId="79A501EB">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4）被国家、重庆市（含市或任意区县）有关行政部门处以暂停投标资格行政处罚，且在处罚期限内；</w:t>
      </w:r>
    </w:p>
    <w:p w14:paraId="4AF72351">
      <w:pPr>
        <w:pageBreakBefore w:val="0"/>
        <w:widowControl w:val="0"/>
        <w:kinsoku/>
        <w:wordWrap/>
        <w:overflowPunct/>
        <w:topLinePunct w:val="0"/>
        <w:bidi w:val="0"/>
        <w:spacing w:line="400" w:lineRule="exact"/>
        <w:ind w:firstLine="420" w:firstLineChars="200"/>
        <w:textAlignment w:val="auto"/>
        <w:rPr>
          <w:highlight w:val="none"/>
          <w:u w:val="single"/>
        </w:rPr>
      </w:pPr>
      <w:r>
        <w:rPr>
          <w:rFonts w:hint="eastAsia"/>
          <w:highlight w:val="none"/>
          <w:u w:val="single"/>
        </w:rPr>
        <w:t>（</w:t>
      </w:r>
      <w:r>
        <w:rPr>
          <w:highlight w:val="none"/>
          <w:u w:val="single"/>
        </w:rPr>
        <w:t>5）被重庆市住房和城乡建设主管部门暂停在渝承揽新业务且在暂停期内。</w:t>
      </w:r>
    </w:p>
    <w:p w14:paraId="36F5615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lang w:val="zh-CN"/>
        </w:rPr>
      </w:pPr>
      <w:r>
        <w:rPr>
          <w:rFonts w:hint="eastAsia" w:ascii="宋体" w:hAnsi="宋体"/>
          <w:snapToGrid w:val="0"/>
          <w:kern w:val="0"/>
          <w:szCs w:val="21"/>
          <w:highlight w:val="none"/>
          <w:u w:val="single"/>
        </w:rPr>
        <w:t>（6）</w:t>
      </w:r>
      <w:r>
        <w:rPr>
          <w:rFonts w:hint="eastAsia" w:ascii="宋体" w:hAnsi="宋体"/>
          <w:snapToGrid w:val="0"/>
          <w:kern w:val="0"/>
          <w:szCs w:val="21"/>
          <w:highlight w:val="none"/>
          <w:u w:val="single"/>
          <w:lang w:val="zh-CN"/>
        </w:rPr>
        <w:t>具有良好的商业信誉和健全的财务会计制度；</w:t>
      </w:r>
    </w:p>
    <w:p w14:paraId="518F6114">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ascii="宋体" w:hAnsi="宋体"/>
          <w:b/>
          <w:bCs/>
          <w:snapToGrid w:val="0"/>
          <w:kern w:val="0"/>
          <w:szCs w:val="21"/>
          <w:highlight w:val="none"/>
        </w:rPr>
      </w:pPr>
      <w:r>
        <w:rPr>
          <w:rFonts w:hint="eastAsia" w:ascii="宋体" w:hAnsi="宋体"/>
          <w:b/>
          <w:bCs/>
          <w:snapToGrid w:val="0"/>
          <w:kern w:val="0"/>
          <w:szCs w:val="21"/>
          <w:highlight w:val="none"/>
        </w:rPr>
        <w:t>3.</w:t>
      </w:r>
      <w:r>
        <w:rPr>
          <w:rFonts w:hint="eastAsia" w:ascii="宋体" w:hAnsi="宋体"/>
          <w:b/>
          <w:bCs/>
          <w:snapToGrid w:val="0"/>
          <w:kern w:val="0"/>
          <w:szCs w:val="21"/>
          <w:highlight w:val="none"/>
          <w:lang w:val="en-US" w:eastAsia="zh-CN"/>
        </w:rPr>
        <w:t>3</w:t>
      </w:r>
      <w:r>
        <w:rPr>
          <w:rFonts w:hint="eastAsia" w:ascii="宋体" w:hAnsi="宋体"/>
          <w:b/>
          <w:bCs/>
          <w:snapToGrid w:val="0"/>
          <w:kern w:val="0"/>
          <w:szCs w:val="21"/>
          <w:highlight w:val="none"/>
        </w:rPr>
        <w:t>业绩要求</w:t>
      </w:r>
    </w:p>
    <w:p w14:paraId="766352D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snapToGrid w:val="0"/>
          <w:kern w:val="0"/>
          <w:szCs w:val="21"/>
          <w:highlight w:val="none"/>
          <w:u w:val="single"/>
        </w:rPr>
      </w:pPr>
      <w:r>
        <w:rPr>
          <w:rFonts w:hint="eastAsia" w:ascii="宋体" w:hAnsi="宋体"/>
          <w:snapToGrid w:val="0"/>
          <w:kern w:val="0"/>
          <w:szCs w:val="21"/>
          <w:highlight w:val="none"/>
          <w:u w:val="single"/>
        </w:rPr>
        <w:t>参选人在</w:t>
      </w:r>
      <w:r>
        <w:rPr>
          <w:rFonts w:hint="eastAsia"/>
          <w:highlight w:val="none"/>
          <w:u w:val="single"/>
        </w:rPr>
        <w:t>近5年（20</w:t>
      </w:r>
      <w:r>
        <w:rPr>
          <w:rFonts w:hint="eastAsia"/>
          <w:highlight w:val="none"/>
          <w:u w:val="single"/>
          <w:lang w:val="en-US" w:eastAsia="zh-CN"/>
        </w:rPr>
        <w:t>20</w:t>
      </w:r>
      <w:r>
        <w:rPr>
          <w:rFonts w:hint="eastAsia"/>
          <w:highlight w:val="none"/>
          <w:u w:val="single"/>
        </w:rPr>
        <w:t>年1月1日起至今</w:t>
      </w:r>
      <w:r>
        <w:rPr>
          <w:rFonts w:hint="eastAsia"/>
          <w:highlight w:val="none"/>
          <w:u w:val="single"/>
          <w:lang w:eastAsia="zh-CN"/>
        </w:rPr>
        <w:t>，</w:t>
      </w:r>
      <w:r>
        <w:rPr>
          <w:rFonts w:hint="eastAsia"/>
          <w:highlight w:val="none"/>
          <w:u w:val="single"/>
          <w:lang w:val="en-US" w:eastAsia="zh-CN"/>
        </w:rPr>
        <w:t>以合同签订时间为准</w:t>
      </w:r>
      <w:r>
        <w:rPr>
          <w:rFonts w:hint="eastAsia"/>
          <w:highlight w:val="none"/>
          <w:u w:val="single"/>
        </w:rPr>
        <w:t>）有</w:t>
      </w:r>
      <w:r>
        <w:rPr>
          <w:rFonts w:hint="eastAsia"/>
          <w:highlight w:val="none"/>
          <w:u w:val="single"/>
          <w:lang w:val="en-US" w:eastAsia="zh-CN"/>
        </w:rPr>
        <w:t>300㎡</w:t>
      </w:r>
      <w:r>
        <w:rPr>
          <w:rFonts w:hint="eastAsia"/>
          <w:highlight w:val="none"/>
          <w:u w:val="single"/>
        </w:rPr>
        <w:t>以上的</w:t>
      </w:r>
      <w:r>
        <w:rPr>
          <w:rFonts w:hint="eastAsia"/>
          <w:highlight w:val="none"/>
          <w:u w:val="single"/>
          <w:lang w:val="en-US" w:eastAsia="zh-CN"/>
        </w:rPr>
        <w:t>公共区域类建筑装饰工程</w:t>
      </w:r>
      <w:r>
        <w:rPr>
          <w:rFonts w:hint="eastAsia"/>
          <w:highlight w:val="none"/>
          <w:u w:val="single"/>
        </w:rPr>
        <w:t>设计业绩</w:t>
      </w:r>
      <w:r>
        <w:rPr>
          <w:rFonts w:hint="eastAsia" w:ascii="宋体" w:hAnsi="宋体"/>
          <w:snapToGrid w:val="0"/>
          <w:kern w:val="0"/>
          <w:szCs w:val="21"/>
          <w:highlight w:val="none"/>
          <w:u w:val="single"/>
        </w:rPr>
        <w:t>等类似业绩1个</w:t>
      </w:r>
      <w:r>
        <w:rPr>
          <w:rFonts w:hint="eastAsia" w:ascii="宋体" w:hAnsi="宋体"/>
          <w:snapToGrid w:val="0"/>
          <w:kern w:val="0"/>
          <w:szCs w:val="21"/>
          <w:highlight w:val="none"/>
          <w:u w:val="single"/>
          <w:lang w:val="en-US" w:eastAsia="zh-CN"/>
        </w:rPr>
        <w:t>及以上</w:t>
      </w:r>
      <w:r>
        <w:rPr>
          <w:rFonts w:hint="eastAsia" w:ascii="宋体" w:hAnsi="宋体"/>
          <w:snapToGrid w:val="0"/>
          <w:kern w:val="0"/>
          <w:szCs w:val="21"/>
          <w:highlight w:val="none"/>
          <w:u w:val="single"/>
        </w:rPr>
        <w:t>。（提供合同复印件，复印件要求加盖公章，合同原件备查）。</w:t>
      </w:r>
    </w:p>
    <w:p w14:paraId="1BDB828A">
      <w:pPr>
        <w:pStyle w:val="3"/>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ascii="宋体" w:hAnsi="宋体"/>
          <w:snapToGrid w:val="0"/>
          <w:sz w:val="28"/>
          <w:szCs w:val="28"/>
          <w:highlight w:val="none"/>
        </w:rPr>
        <w:t>4.比选文件的获取</w:t>
      </w:r>
    </w:p>
    <w:p w14:paraId="57651AF5">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u w:val="single"/>
          <w:lang w:val="en-US" w:eastAsia="zh-CN"/>
        </w:rPr>
      </w:pPr>
      <w:r>
        <w:rPr>
          <w:rFonts w:hint="eastAsia" w:ascii="宋体" w:hAnsi="宋体" w:eastAsia="宋体" w:cs="Times New Roman"/>
          <w:snapToGrid w:val="0"/>
          <w:kern w:val="0"/>
          <w:szCs w:val="21"/>
          <w:highlight w:val="none"/>
          <w:u w:val="single"/>
          <w:lang w:val="en-US" w:eastAsia="zh-CN"/>
        </w:rPr>
        <w:t xml:space="preserve">凡确定参加比选的单位在2026年 </w:t>
      </w:r>
      <w:r>
        <w:rPr>
          <w:rFonts w:hint="default" w:ascii="宋体" w:hAnsi="宋体" w:cs="Times New Roman"/>
          <w:snapToGrid w:val="0"/>
          <w:kern w:val="0"/>
          <w:szCs w:val="21"/>
          <w:highlight w:val="none"/>
          <w:u w:val="single"/>
          <w:lang w:eastAsia="zh-CN"/>
        </w:rPr>
        <w:t>5</w:t>
      </w:r>
      <w:r>
        <w:rPr>
          <w:rFonts w:hint="eastAsia" w:ascii="宋体" w:hAnsi="宋体" w:eastAsia="宋体" w:cs="Times New Roman"/>
          <w:snapToGrid w:val="0"/>
          <w:kern w:val="0"/>
          <w:szCs w:val="21"/>
          <w:highlight w:val="none"/>
          <w:u w:val="single"/>
          <w:lang w:val="en-US" w:eastAsia="zh-CN"/>
        </w:rPr>
        <w:t xml:space="preserve"> 月 </w:t>
      </w:r>
      <w:r>
        <w:rPr>
          <w:rFonts w:hint="default" w:ascii="宋体" w:hAnsi="宋体" w:cs="Times New Roman"/>
          <w:snapToGrid w:val="0"/>
          <w:kern w:val="0"/>
          <w:szCs w:val="21"/>
          <w:highlight w:val="none"/>
          <w:u w:val="single"/>
          <w:lang w:eastAsia="zh-CN"/>
        </w:rPr>
        <w:t>14</w:t>
      </w:r>
      <w:r>
        <w:rPr>
          <w:rFonts w:hint="eastAsia" w:ascii="宋体" w:hAnsi="宋体" w:eastAsia="宋体" w:cs="Times New Roman"/>
          <w:snapToGrid w:val="0"/>
          <w:kern w:val="0"/>
          <w:szCs w:val="21"/>
          <w:highlight w:val="none"/>
          <w:u w:val="single"/>
          <w:lang w:val="en-US" w:eastAsia="zh-CN"/>
        </w:rPr>
        <w:t xml:space="preserve"> 日12：00时前（北京时间，下同）在阿依河景区官网（网址：http://www.ayhjq.com）上下载本项目比选文件及相关资料。</w:t>
      </w:r>
    </w:p>
    <w:p w14:paraId="36AE7427">
      <w:pPr>
        <w:pStyle w:val="24"/>
        <w:pageBreakBefore w:val="0"/>
        <w:widowControl w:val="0"/>
        <w:kinsoku/>
        <w:wordWrap/>
        <w:overflowPunct/>
        <w:topLinePunct w:val="0"/>
        <w:bidi w:val="0"/>
        <w:spacing w:line="400" w:lineRule="exact"/>
        <w:textAlignment w:val="auto"/>
        <w:outlineLvl w:val="1"/>
        <w:rPr>
          <w:rFonts w:hint="default" w:ascii="宋体" w:hAnsi="宋体" w:eastAsia="宋体" w:cs="宋体"/>
          <w:b/>
          <w:snapToGrid w:val="0"/>
          <w:sz w:val="28"/>
          <w:szCs w:val="28"/>
          <w:highlight w:val="none"/>
          <w:lang w:val="en-US" w:eastAsia="zh-CN"/>
        </w:rPr>
      </w:pPr>
      <w:r>
        <w:rPr>
          <w:rFonts w:hint="eastAsia" w:ascii="宋体" w:hAnsi="宋体" w:eastAsia="宋体" w:cs="宋体"/>
          <w:b/>
          <w:snapToGrid w:val="0"/>
          <w:sz w:val="28"/>
          <w:szCs w:val="28"/>
          <w:highlight w:val="none"/>
          <w:lang w:val="en-US" w:eastAsia="zh-CN"/>
        </w:rPr>
        <w:t>5</w:t>
      </w:r>
      <w:r>
        <w:rPr>
          <w:rFonts w:hint="eastAsia" w:ascii="宋体" w:hAnsi="宋体" w:eastAsia="宋体" w:cs="宋体"/>
          <w:b/>
          <w:snapToGrid w:val="0"/>
          <w:sz w:val="28"/>
          <w:szCs w:val="28"/>
          <w:highlight w:val="none"/>
        </w:rPr>
        <w:t>.参选文件递交</w:t>
      </w:r>
      <w:r>
        <w:rPr>
          <w:rFonts w:hint="eastAsia" w:ascii="宋体" w:hAnsi="宋体" w:eastAsia="宋体" w:cs="宋体"/>
          <w:b/>
          <w:snapToGrid w:val="0"/>
          <w:sz w:val="28"/>
          <w:szCs w:val="28"/>
          <w:highlight w:val="none"/>
          <w:lang w:val="en-US" w:eastAsia="zh-CN"/>
        </w:rPr>
        <w:t>及开标时间</w:t>
      </w:r>
    </w:p>
    <w:p w14:paraId="05293092">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eastAsia="宋体" w:cs="Times New Roman"/>
          <w:snapToGrid w:val="0"/>
          <w:kern w:val="0"/>
          <w:szCs w:val="21"/>
          <w:highlight w:val="none"/>
        </w:rPr>
      </w:pPr>
      <w:r>
        <w:rPr>
          <w:rFonts w:ascii="宋体" w:hAnsi="宋体"/>
          <w:snapToGrid w:val="0"/>
          <w:kern w:val="0"/>
          <w:szCs w:val="21"/>
          <w:highlight w:val="none"/>
        </w:rPr>
        <w:t>5.1</w:t>
      </w:r>
      <w:r>
        <w:rPr>
          <w:rFonts w:hint="eastAsia" w:ascii="宋体" w:hAnsi="宋体"/>
          <w:snapToGrid w:val="0"/>
          <w:kern w:val="0"/>
          <w:szCs w:val="21"/>
          <w:highlight w:val="none"/>
        </w:rPr>
        <w:t xml:space="preserve"> 参选文件递交的截止时间（参选截止时间，下同）为</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rPr>
        <w:t>年</w:t>
      </w:r>
      <w:r>
        <w:rPr>
          <w:rFonts w:hint="default" w:ascii="宋体" w:hAnsi="宋体"/>
          <w:snapToGrid w:val="0"/>
          <w:kern w:val="0"/>
          <w:szCs w:val="21"/>
          <w:highlight w:val="none"/>
          <w:lang w:eastAsia="zh-CN"/>
        </w:rPr>
        <w:t>5</w:t>
      </w:r>
      <w:r>
        <w:rPr>
          <w:rFonts w:hint="eastAsia" w:ascii="宋体" w:hAnsi="宋体"/>
          <w:snapToGrid w:val="0"/>
          <w:kern w:val="0"/>
          <w:szCs w:val="21"/>
          <w:highlight w:val="none"/>
        </w:rPr>
        <w:t>月</w:t>
      </w:r>
      <w:r>
        <w:rPr>
          <w:rFonts w:hint="default" w:ascii="宋体" w:hAnsi="宋体"/>
          <w:snapToGrid w:val="0"/>
          <w:kern w:val="0"/>
          <w:szCs w:val="21"/>
          <w:highlight w:val="none"/>
          <w:lang w:eastAsia="zh-CN"/>
        </w:rPr>
        <w:t>14</w:t>
      </w:r>
      <w:r>
        <w:rPr>
          <w:rFonts w:hint="eastAsia" w:ascii="宋体" w:hAnsi="宋体"/>
          <w:snapToGrid w:val="0"/>
          <w:kern w:val="0"/>
          <w:szCs w:val="21"/>
          <w:highlight w:val="none"/>
        </w:rPr>
        <w:t>日</w:t>
      </w:r>
      <w:r>
        <w:rPr>
          <w:rFonts w:hint="default" w:ascii="宋体" w:hAnsi="宋体"/>
          <w:snapToGrid w:val="0"/>
          <w:kern w:val="0"/>
          <w:szCs w:val="21"/>
          <w:highlight w:val="none"/>
          <w:lang w:eastAsia="zh-CN"/>
        </w:rPr>
        <w:t>12</w:t>
      </w:r>
      <w:r>
        <w:rPr>
          <w:rFonts w:hint="eastAsia" w:ascii="宋体" w:hAnsi="宋体"/>
          <w:snapToGrid w:val="0"/>
          <w:kern w:val="0"/>
          <w:szCs w:val="21"/>
          <w:highlight w:val="none"/>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rPr>
        <w:t>分，</w:t>
      </w:r>
      <w:r>
        <w:rPr>
          <w:rFonts w:ascii="宋体" w:hAnsi="宋体"/>
          <w:snapToGrid w:val="0"/>
          <w:kern w:val="0"/>
          <w:szCs w:val="21"/>
          <w:highlight w:val="none"/>
        </w:rPr>
        <w:t xml:space="preserve"> </w:t>
      </w:r>
      <w:r>
        <w:rPr>
          <w:rFonts w:hint="eastAsia" w:ascii="宋体" w:hAnsi="宋体"/>
          <w:snapToGrid w:val="0"/>
          <w:kern w:val="0"/>
          <w:szCs w:val="21"/>
          <w:highlight w:val="none"/>
        </w:rPr>
        <w:t>地点为</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重庆市彭水县绍庆街道阿依河社区6组168号阿依河景区接待中心服务保障部</w:t>
      </w:r>
      <w:r>
        <w:rPr>
          <w:rFonts w:hint="eastAsia" w:ascii="宋体" w:hAnsi="宋体" w:eastAsia="宋体" w:cs="Times New Roman"/>
          <w:snapToGrid w:val="0"/>
          <w:kern w:val="0"/>
          <w:szCs w:val="21"/>
          <w:highlight w:val="none"/>
        </w:rPr>
        <w:t>。</w:t>
      </w:r>
    </w:p>
    <w:p w14:paraId="096ED3AC">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eastAsia" w:ascii="宋体" w:hAnsi="宋体"/>
          <w:snapToGrid w:val="0"/>
          <w:kern w:val="0"/>
          <w:szCs w:val="21"/>
          <w:highlight w:val="none"/>
        </w:rPr>
      </w:pPr>
      <w:r>
        <w:rPr>
          <w:rFonts w:ascii="宋体" w:hAnsi="宋体"/>
          <w:snapToGrid w:val="0"/>
          <w:kern w:val="0"/>
          <w:szCs w:val="21"/>
          <w:highlight w:val="none"/>
        </w:rPr>
        <w:t xml:space="preserve">5.2 </w:t>
      </w:r>
      <w:r>
        <w:rPr>
          <w:rFonts w:hint="eastAsia" w:ascii="宋体" w:hAnsi="宋体"/>
          <w:snapToGrid w:val="0"/>
          <w:kern w:val="0"/>
          <w:szCs w:val="21"/>
          <w:highlight w:val="none"/>
        </w:rPr>
        <w:t>逾期送达的或者未送达指定地点的参选文件，</w:t>
      </w:r>
      <w:r>
        <w:rPr>
          <w:rFonts w:hint="eastAsia" w:ascii="宋体" w:hAnsi="宋体"/>
          <w:snapToGrid w:val="0"/>
          <w:kern w:val="0"/>
          <w:szCs w:val="21"/>
          <w:highlight w:val="none"/>
          <w:lang w:val="en-US" w:eastAsia="zh-CN"/>
        </w:rPr>
        <w:t>比选</w:t>
      </w:r>
      <w:r>
        <w:rPr>
          <w:rFonts w:hint="eastAsia" w:ascii="宋体" w:hAnsi="宋体"/>
          <w:snapToGrid w:val="0"/>
          <w:kern w:val="0"/>
          <w:szCs w:val="21"/>
          <w:highlight w:val="none"/>
        </w:rPr>
        <w:t>人不予受理。</w:t>
      </w:r>
    </w:p>
    <w:p w14:paraId="2DEF853F">
      <w:pPr>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rPr>
          <w:rFonts w:hint="default" w:ascii="宋体" w:hAnsi="宋体"/>
          <w:snapToGrid w:val="0"/>
          <w:kern w:val="0"/>
          <w:szCs w:val="21"/>
          <w:highlight w:val="none"/>
          <w:lang w:val="en-US" w:eastAsia="zh-CN"/>
        </w:rPr>
      </w:pPr>
      <w:r>
        <w:rPr>
          <w:rFonts w:hint="eastAsia" w:ascii="宋体" w:hAnsi="宋体"/>
          <w:snapToGrid w:val="0"/>
          <w:kern w:val="0"/>
          <w:szCs w:val="21"/>
          <w:highlight w:val="none"/>
          <w:lang w:val="en-US" w:eastAsia="zh-CN"/>
        </w:rPr>
        <w:t xml:space="preserve">5.3开标时间： </w:t>
      </w:r>
      <w:r>
        <w:rPr>
          <w:rFonts w:hint="default" w:ascii="宋体" w:hAnsi="宋体"/>
          <w:snapToGrid w:val="0"/>
          <w:kern w:val="0"/>
          <w:szCs w:val="21"/>
          <w:highlight w:val="none"/>
          <w:lang w:eastAsia="zh-CN"/>
        </w:rPr>
        <w:t>2026</w:t>
      </w:r>
      <w:r>
        <w:rPr>
          <w:rFonts w:hint="eastAsia" w:ascii="宋体" w:hAnsi="宋体"/>
          <w:snapToGrid w:val="0"/>
          <w:kern w:val="0"/>
          <w:szCs w:val="21"/>
          <w:highlight w:val="none"/>
          <w:lang w:val="en-US" w:eastAsia="zh-CN"/>
        </w:rPr>
        <w:t>年</w:t>
      </w:r>
      <w:r>
        <w:rPr>
          <w:rFonts w:hint="default" w:ascii="宋体" w:hAnsi="宋体"/>
          <w:snapToGrid w:val="0"/>
          <w:kern w:val="0"/>
          <w:szCs w:val="21"/>
          <w:highlight w:val="none"/>
          <w:lang w:eastAsia="zh-CN"/>
        </w:rPr>
        <w:t>5</w:t>
      </w:r>
      <w:r>
        <w:rPr>
          <w:rFonts w:hint="eastAsia" w:ascii="宋体" w:hAnsi="宋体"/>
          <w:snapToGrid w:val="0"/>
          <w:kern w:val="0"/>
          <w:szCs w:val="21"/>
          <w:highlight w:val="none"/>
          <w:lang w:val="en-US" w:eastAsia="zh-CN"/>
        </w:rPr>
        <w:t>月</w:t>
      </w:r>
      <w:r>
        <w:rPr>
          <w:rFonts w:hint="default" w:ascii="宋体" w:hAnsi="宋体"/>
          <w:snapToGrid w:val="0"/>
          <w:kern w:val="0"/>
          <w:szCs w:val="21"/>
          <w:highlight w:val="none"/>
          <w:lang w:eastAsia="zh-CN"/>
        </w:rPr>
        <w:t>14</w:t>
      </w:r>
      <w:r>
        <w:rPr>
          <w:rFonts w:hint="eastAsia" w:ascii="宋体" w:hAnsi="宋体"/>
          <w:snapToGrid w:val="0"/>
          <w:kern w:val="0"/>
          <w:szCs w:val="21"/>
          <w:highlight w:val="none"/>
          <w:lang w:val="en-US" w:eastAsia="zh-CN"/>
        </w:rPr>
        <w:t>日</w:t>
      </w:r>
      <w:r>
        <w:rPr>
          <w:rFonts w:hint="default" w:ascii="宋体" w:hAnsi="宋体"/>
          <w:snapToGrid w:val="0"/>
          <w:kern w:val="0"/>
          <w:szCs w:val="21"/>
          <w:highlight w:val="none"/>
          <w:lang w:eastAsia="zh-CN"/>
        </w:rPr>
        <w:t>15</w:t>
      </w:r>
      <w:r>
        <w:rPr>
          <w:rFonts w:hint="eastAsia" w:ascii="宋体" w:hAnsi="宋体"/>
          <w:snapToGrid w:val="0"/>
          <w:kern w:val="0"/>
          <w:szCs w:val="21"/>
          <w:highlight w:val="none"/>
          <w:lang w:val="en-US" w:eastAsia="zh-CN"/>
        </w:rPr>
        <w:t>时</w:t>
      </w:r>
      <w:r>
        <w:rPr>
          <w:rFonts w:hint="default" w:ascii="宋体" w:hAnsi="宋体"/>
          <w:snapToGrid w:val="0"/>
          <w:kern w:val="0"/>
          <w:szCs w:val="21"/>
          <w:highlight w:val="none"/>
          <w:lang w:eastAsia="zh-CN"/>
        </w:rPr>
        <w:t>0</w:t>
      </w:r>
      <w:r>
        <w:rPr>
          <w:rFonts w:hint="eastAsia" w:ascii="宋体" w:hAnsi="宋体"/>
          <w:snapToGrid w:val="0"/>
          <w:kern w:val="0"/>
          <w:szCs w:val="21"/>
          <w:highlight w:val="none"/>
          <w:lang w:val="en-US" w:eastAsia="zh-CN"/>
        </w:rPr>
        <w:t>分，开标地点</w:t>
      </w:r>
      <w:r>
        <w:rPr>
          <w:rFonts w:hint="eastAsia" w:ascii="宋体" w:hAnsi="宋体" w:eastAsia="宋体" w:cs="Times New Roman"/>
          <w:snapToGrid w:val="0"/>
          <w:kern w:val="0"/>
          <w:szCs w:val="21"/>
          <w:highlight w:val="none"/>
          <w:lang w:val="en-US" w:eastAsia="zh-CN"/>
        </w:rPr>
        <w:t>：重庆市彭水县绍庆街道阿依河社区6组168号阿依河景区接待中心会议室，具</w:t>
      </w:r>
      <w:r>
        <w:rPr>
          <w:rFonts w:hint="eastAsia" w:ascii="宋体" w:hAnsi="宋体"/>
          <w:snapToGrid w:val="0"/>
          <w:kern w:val="0"/>
          <w:szCs w:val="21"/>
          <w:highlight w:val="none"/>
          <w:lang w:val="en-US" w:eastAsia="zh-CN"/>
        </w:rPr>
        <w:t>体以开标当天安排为准。</w:t>
      </w:r>
    </w:p>
    <w:p w14:paraId="20213D81">
      <w:pPr>
        <w:pStyle w:val="3"/>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lang w:val="en-US" w:eastAsia="zh-CN"/>
        </w:rPr>
        <w:t>6</w:t>
      </w:r>
      <w:r>
        <w:rPr>
          <w:rFonts w:hint="eastAsia" w:ascii="宋体" w:hAnsi="宋体"/>
          <w:snapToGrid w:val="0"/>
          <w:sz w:val="28"/>
          <w:szCs w:val="28"/>
          <w:highlight w:val="none"/>
        </w:rPr>
        <w:t>.拟中标结果的公示</w:t>
      </w:r>
    </w:p>
    <w:p w14:paraId="488126F3">
      <w:pPr>
        <w:pStyle w:val="3"/>
        <w:pageBreakBefore w:val="0"/>
        <w:widowControl w:val="0"/>
        <w:kinsoku/>
        <w:wordWrap/>
        <w:overflowPunct/>
        <w:topLinePunct w:val="0"/>
        <w:bidi w:val="0"/>
        <w:spacing w:before="0" w:after="0" w:line="400" w:lineRule="exact"/>
        <w:textAlignment w:val="auto"/>
        <w:rPr>
          <w:rFonts w:hint="eastAsia" w:ascii="方正仿宋_GBK" w:hAnsi="方正仿宋_GBK" w:eastAsia="方正仿宋_GBK" w:cs="方正仿宋_GBK"/>
          <w:color w:val="auto"/>
          <w:sz w:val="28"/>
          <w:szCs w:val="28"/>
          <w:highlight w:val="none"/>
          <w:lang w:val="en-US" w:eastAsia="zh-CN"/>
        </w:rPr>
      </w:pPr>
      <w:r>
        <w:rPr>
          <w:rFonts w:hint="eastAsia" w:ascii="宋体" w:hAnsi="宋体" w:eastAsia="宋体" w:cs="Times New Roman"/>
          <w:b w:val="0"/>
          <w:bCs w:val="0"/>
          <w:snapToGrid w:val="0"/>
          <w:kern w:val="0"/>
          <w:sz w:val="21"/>
          <w:szCs w:val="21"/>
          <w:highlight w:val="none"/>
          <w:lang w:val="en-US" w:eastAsia="zh-CN" w:bidi="ar-SA"/>
        </w:rPr>
        <w:t xml:space="preserve">    中选结果在阿依河景区官网（网址：http://www.ayhjq.com）上进行公示，公示期为5日历天。</w:t>
      </w:r>
    </w:p>
    <w:p w14:paraId="3FEB75CB">
      <w:pPr>
        <w:pStyle w:val="3"/>
        <w:pageBreakBefore w:val="0"/>
        <w:widowControl w:val="0"/>
        <w:kinsoku/>
        <w:wordWrap/>
        <w:overflowPunct/>
        <w:topLinePunct w:val="0"/>
        <w:bidi w:val="0"/>
        <w:spacing w:before="0" w:after="0" w:line="400" w:lineRule="exact"/>
        <w:textAlignment w:val="auto"/>
        <w:rPr>
          <w:rFonts w:ascii="宋体" w:hAnsi="宋体"/>
          <w:snapToGrid w:val="0"/>
          <w:sz w:val="28"/>
          <w:szCs w:val="28"/>
          <w:highlight w:val="none"/>
        </w:rPr>
      </w:pPr>
      <w:r>
        <w:rPr>
          <w:rFonts w:hint="eastAsia" w:ascii="宋体" w:hAnsi="宋体"/>
          <w:snapToGrid w:val="0"/>
          <w:sz w:val="28"/>
          <w:szCs w:val="28"/>
          <w:highlight w:val="none"/>
        </w:rPr>
        <w:t>7</w:t>
      </w:r>
      <w:r>
        <w:rPr>
          <w:rFonts w:ascii="宋体" w:hAnsi="宋体"/>
          <w:snapToGrid w:val="0"/>
          <w:sz w:val="28"/>
          <w:szCs w:val="28"/>
          <w:highlight w:val="none"/>
        </w:rPr>
        <w:t>.联系方式</w:t>
      </w:r>
    </w:p>
    <w:p w14:paraId="0EE3D6D5">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比选人：</w:t>
      </w:r>
      <w:r>
        <w:rPr>
          <w:rFonts w:hint="eastAsia" w:ascii="宋体" w:hAnsi="宋体"/>
          <w:snapToGrid w:val="0"/>
          <w:kern w:val="0"/>
          <w:szCs w:val="21"/>
          <w:highlight w:val="none"/>
          <w:u w:val="single"/>
          <w:lang w:val="en-US" w:eastAsia="zh-CN"/>
        </w:rPr>
        <w:t>重庆乌江画廊旅游开发有限公司阿依河分公司</w:t>
      </w:r>
    </w:p>
    <w:p w14:paraId="3B8ABCAF">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hint="default" w:ascii="宋体" w:hAnsi="宋体" w:eastAsia="宋体"/>
          <w:snapToGrid w:val="0"/>
          <w:kern w:val="0"/>
          <w:szCs w:val="21"/>
          <w:highlight w:val="none"/>
          <w:lang w:val="en-US" w:eastAsia="zh-CN"/>
        </w:rPr>
      </w:pPr>
      <w:r>
        <w:rPr>
          <w:rFonts w:hint="eastAsia" w:ascii="宋体" w:hAnsi="宋体"/>
          <w:snapToGrid w:val="0"/>
          <w:kern w:val="0"/>
          <w:szCs w:val="21"/>
          <w:highlight w:val="none"/>
        </w:rPr>
        <w:t>地  址：</w:t>
      </w:r>
      <w:r>
        <w:rPr>
          <w:rFonts w:hint="eastAsia" w:ascii="宋体" w:hAnsi="宋体" w:eastAsia="宋体" w:cs="Times New Roman"/>
          <w:snapToGrid w:val="0"/>
          <w:kern w:val="0"/>
          <w:szCs w:val="21"/>
          <w:highlight w:val="none"/>
          <w:u w:val="single"/>
          <w:lang w:val="en-US" w:eastAsia="zh-CN"/>
        </w:rPr>
        <w:t>重庆市彭水县绍庆街道阿依河社区6组168号阿依河景区接待中心</w:t>
      </w:r>
    </w:p>
    <w:p w14:paraId="4FAC7B21">
      <w:pPr>
        <w:pageBreakBefore w:val="0"/>
        <w:widowControl w:val="0"/>
        <w:tabs>
          <w:tab w:val="left" w:pos="4395"/>
          <w:tab w:val="left" w:pos="4678"/>
          <w:tab w:val="left" w:pos="8420"/>
        </w:tabs>
        <w:kinsoku/>
        <w:wordWrap/>
        <w:overflowPunct/>
        <w:topLinePunct w:val="0"/>
        <w:autoSpaceDE w:val="0"/>
        <w:autoSpaceDN w:val="0"/>
        <w:bidi w:val="0"/>
        <w:adjustRightInd w:val="0"/>
        <w:snapToGrid w:val="0"/>
        <w:spacing w:line="400" w:lineRule="exact"/>
        <w:ind w:firstLine="420" w:firstLineChars="200"/>
        <w:jc w:val="left"/>
        <w:textAlignment w:val="auto"/>
        <w:rPr>
          <w:rFonts w:ascii="宋体" w:hAnsi="宋体"/>
          <w:snapToGrid w:val="0"/>
          <w:kern w:val="0"/>
          <w:szCs w:val="21"/>
          <w:highlight w:val="none"/>
        </w:rPr>
      </w:pPr>
      <w:r>
        <w:rPr>
          <w:rFonts w:hint="eastAsia" w:ascii="宋体" w:hAnsi="宋体"/>
          <w:snapToGrid w:val="0"/>
          <w:kern w:val="0"/>
          <w:szCs w:val="21"/>
          <w:highlight w:val="none"/>
        </w:rPr>
        <w:t>联系人：</w:t>
      </w:r>
      <w:r>
        <w:rPr>
          <w:rFonts w:hint="eastAsia" w:ascii="宋体" w:hAnsi="宋体"/>
          <w:snapToGrid w:val="0"/>
          <w:kern w:val="0"/>
          <w:szCs w:val="21"/>
          <w:highlight w:val="none"/>
          <w:u w:val="single"/>
          <w:lang w:val="en-US" w:eastAsia="zh-CN"/>
        </w:rPr>
        <w:t>刘</w:t>
      </w:r>
      <w:r>
        <w:rPr>
          <w:rFonts w:hint="eastAsia" w:ascii="宋体" w:hAnsi="宋体"/>
          <w:snapToGrid w:val="0"/>
          <w:kern w:val="0"/>
          <w:szCs w:val="21"/>
          <w:highlight w:val="none"/>
          <w:u w:val="single"/>
        </w:rPr>
        <w:t>老师</w:t>
      </w:r>
    </w:p>
    <w:p w14:paraId="34A8878B">
      <w:pPr>
        <w:tabs>
          <w:tab w:val="left" w:pos="4395"/>
          <w:tab w:val="left" w:pos="4678"/>
          <w:tab w:val="left" w:pos="8420"/>
        </w:tabs>
        <w:autoSpaceDE w:val="0"/>
        <w:autoSpaceDN w:val="0"/>
        <w:adjustRightInd w:val="0"/>
        <w:snapToGrid w:val="0"/>
        <w:spacing w:line="400" w:lineRule="exact"/>
        <w:ind w:firstLine="420" w:firstLineChars="200"/>
        <w:jc w:val="left"/>
        <w:rPr>
          <w:rFonts w:ascii="宋体" w:hAnsi="宋体"/>
          <w:snapToGrid w:val="0"/>
          <w:kern w:val="0"/>
          <w:highlight w:val="none"/>
        </w:rPr>
      </w:pPr>
      <w:r>
        <w:rPr>
          <w:rFonts w:hint="eastAsia" w:ascii="宋体" w:hAnsi="宋体"/>
          <w:snapToGrid w:val="0"/>
          <w:kern w:val="0"/>
          <w:szCs w:val="21"/>
          <w:highlight w:val="none"/>
        </w:rPr>
        <w:t>电</w:t>
      </w:r>
      <w:r>
        <w:rPr>
          <w:rFonts w:ascii="宋体" w:hAnsi="宋体"/>
          <w:snapToGrid w:val="0"/>
          <w:kern w:val="0"/>
          <w:szCs w:val="21"/>
          <w:highlight w:val="none"/>
        </w:rPr>
        <w:t xml:space="preserve">  </w:t>
      </w:r>
      <w:r>
        <w:rPr>
          <w:rFonts w:hint="eastAsia" w:ascii="宋体" w:hAnsi="宋体"/>
          <w:snapToGrid w:val="0"/>
          <w:kern w:val="0"/>
          <w:szCs w:val="21"/>
          <w:highlight w:val="none"/>
        </w:rPr>
        <w:t>话：</w:t>
      </w:r>
      <w:r>
        <w:rPr>
          <w:rFonts w:hint="eastAsia" w:ascii="宋体" w:hAnsi="宋体"/>
          <w:snapToGrid w:val="0"/>
          <w:kern w:val="0"/>
          <w:szCs w:val="21"/>
          <w:highlight w:val="none"/>
          <w:u w:val="single"/>
          <w:lang w:val="en-US" w:eastAsia="zh-CN"/>
        </w:rPr>
        <w:t xml:space="preserve">15025486525 </w:t>
      </w:r>
    </w:p>
    <w:p w14:paraId="1145D008">
      <w:pPr>
        <w:rPr>
          <w:rFonts w:ascii="宋体" w:hAnsi="宋体"/>
          <w:snapToGrid w:val="0"/>
          <w:kern w:val="0"/>
          <w:highlight w:val="none"/>
        </w:rPr>
      </w:pPr>
    </w:p>
    <w:p w14:paraId="2FC2CD93">
      <w:pPr>
        <w:pStyle w:val="12"/>
        <w:rPr>
          <w:rFonts w:ascii="宋体" w:hAnsi="宋体"/>
          <w:snapToGrid w:val="0"/>
          <w:kern w:val="0"/>
          <w:highlight w:val="none"/>
        </w:rPr>
      </w:pPr>
    </w:p>
    <w:p w14:paraId="612A79A0">
      <w:pPr>
        <w:rPr>
          <w:rFonts w:ascii="宋体" w:hAnsi="宋体"/>
          <w:snapToGrid w:val="0"/>
          <w:kern w:val="0"/>
          <w:highlight w:val="none"/>
        </w:rPr>
      </w:pPr>
    </w:p>
    <w:p w14:paraId="6B09E6FE">
      <w:pPr>
        <w:pStyle w:val="12"/>
        <w:rPr>
          <w:rFonts w:ascii="宋体" w:hAnsi="宋体"/>
          <w:snapToGrid w:val="0"/>
          <w:kern w:val="0"/>
          <w:highlight w:val="none"/>
        </w:rPr>
      </w:pPr>
    </w:p>
    <w:p w14:paraId="2238B696">
      <w:pPr>
        <w:rPr>
          <w:rFonts w:ascii="宋体" w:hAnsi="宋体"/>
          <w:snapToGrid w:val="0"/>
          <w:kern w:val="0"/>
          <w:highlight w:val="none"/>
        </w:rPr>
      </w:pPr>
    </w:p>
    <w:p w14:paraId="11381CB3">
      <w:pPr>
        <w:pStyle w:val="12"/>
        <w:rPr>
          <w:rFonts w:ascii="宋体" w:hAnsi="宋体"/>
          <w:snapToGrid w:val="0"/>
          <w:kern w:val="0"/>
          <w:highlight w:val="none"/>
        </w:rPr>
      </w:pPr>
    </w:p>
    <w:p w14:paraId="58C7416D">
      <w:pPr>
        <w:rPr>
          <w:rFonts w:ascii="宋体" w:hAnsi="宋体"/>
          <w:snapToGrid w:val="0"/>
          <w:kern w:val="0"/>
          <w:highlight w:val="none"/>
        </w:rPr>
      </w:pPr>
    </w:p>
    <w:p w14:paraId="0095D598">
      <w:pPr>
        <w:rPr>
          <w:rFonts w:ascii="宋体" w:hAnsi="宋体"/>
          <w:snapToGrid w:val="0"/>
          <w:kern w:val="0"/>
          <w:highlight w:val="none"/>
        </w:rPr>
      </w:pPr>
      <w:r>
        <w:rPr>
          <w:rFonts w:ascii="宋体" w:hAnsi="宋体"/>
          <w:snapToGrid w:val="0"/>
          <w:kern w:val="0"/>
          <w:highlight w:val="none"/>
        </w:rPr>
        <w:br w:type="page"/>
      </w:r>
    </w:p>
    <w:p w14:paraId="32C3EE78">
      <w:pPr>
        <w:pStyle w:val="2"/>
        <w:pageBreakBefore w:val="0"/>
        <w:widowControl w:val="0"/>
        <w:kinsoku/>
        <w:wordWrap/>
        <w:overflowPunct/>
        <w:topLinePunct w:val="0"/>
        <w:autoSpaceDE/>
        <w:autoSpaceDN/>
        <w:bidi w:val="0"/>
        <w:adjustRightInd/>
        <w:snapToGrid/>
        <w:spacing w:before="0" w:after="0" w:line="600" w:lineRule="exact"/>
        <w:ind w:firstLine="2209" w:firstLineChars="500"/>
        <w:jc w:val="both"/>
        <w:textAlignment w:val="auto"/>
        <w:rPr>
          <w:rFonts w:ascii="宋体" w:hAnsi="宋体"/>
          <w:snapToGrid w:val="0"/>
          <w:kern w:val="0"/>
          <w:highlight w:val="none"/>
        </w:rPr>
      </w:pPr>
      <w:r>
        <w:rPr>
          <w:rFonts w:ascii="宋体" w:hAnsi="宋体"/>
          <w:snapToGrid w:val="0"/>
          <w:kern w:val="0"/>
          <w:highlight w:val="none"/>
        </w:rPr>
        <w:t>第</w:t>
      </w:r>
      <w:r>
        <w:rPr>
          <w:rFonts w:hint="eastAsia" w:ascii="宋体" w:hAnsi="宋体"/>
          <w:snapToGrid w:val="0"/>
          <w:kern w:val="0"/>
          <w:highlight w:val="none"/>
        </w:rPr>
        <w:t>二</w:t>
      </w:r>
      <w:r>
        <w:rPr>
          <w:rFonts w:ascii="宋体" w:hAnsi="宋体"/>
          <w:snapToGrid w:val="0"/>
          <w:kern w:val="0"/>
          <w:highlight w:val="none"/>
        </w:rPr>
        <w:t xml:space="preserve">章  </w:t>
      </w:r>
      <w:r>
        <w:rPr>
          <w:rFonts w:hint="eastAsia" w:ascii="宋体" w:hAnsi="宋体"/>
          <w:snapToGrid w:val="0"/>
          <w:kern w:val="0"/>
          <w:highlight w:val="none"/>
        </w:rPr>
        <w:t>参选人须知</w:t>
      </w:r>
    </w:p>
    <w:p w14:paraId="65E8F4C0">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b/>
          <w:bCs/>
          <w:snapToGrid w:val="0"/>
          <w:sz w:val="28"/>
          <w:szCs w:val="28"/>
          <w:highlight w:val="none"/>
        </w:rPr>
      </w:pPr>
    </w:p>
    <w:p w14:paraId="49A407C7">
      <w:pPr>
        <w:pageBreakBefore w:val="0"/>
        <w:widowControl w:val="0"/>
        <w:kinsoku/>
        <w:wordWrap/>
        <w:overflowPunct/>
        <w:topLinePunct w:val="0"/>
        <w:autoSpaceDE/>
        <w:autoSpaceDN/>
        <w:bidi w:val="0"/>
        <w:adjustRightInd/>
        <w:snapToGrid/>
        <w:spacing w:line="600" w:lineRule="exact"/>
        <w:textAlignment w:val="auto"/>
        <w:outlineLvl w:val="1"/>
        <w:rPr>
          <w:rFonts w:hint="default" w:ascii="宋体" w:hAnsi="宋体" w:eastAsia="宋体"/>
          <w:b/>
          <w:bCs/>
          <w:snapToGrid w:val="0"/>
          <w:sz w:val="28"/>
          <w:szCs w:val="28"/>
          <w:highlight w:val="none"/>
          <w:lang w:val="en-US" w:eastAsia="zh-CN"/>
        </w:rPr>
      </w:pPr>
      <w:r>
        <w:rPr>
          <w:rFonts w:hint="eastAsia" w:ascii="宋体" w:hAnsi="宋体"/>
          <w:b/>
          <w:bCs/>
          <w:snapToGrid w:val="0"/>
          <w:sz w:val="28"/>
          <w:szCs w:val="28"/>
          <w:highlight w:val="none"/>
        </w:rPr>
        <w:t>1.</w:t>
      </w:r>
      <w:r>
        <w:rPr>
          <w:rFonts w:hint="eastAsia" w:ascii="宋体" w:hAnsi="宋体"/>
          <w:b/>
          <w:bCs/>
          <w:snapToGrid w:val="0"/>
          <w:sz w:val="28"/>
          <w:szCs w:val="28"/>
          <w:highlight w:val="none"/>
          <w:lang w:val="en-US" w:eastAsia="zh-CN"/>
        </w:rPr>
        <w:t>比选基本信息</w:t>
      </w:r>
    </w:p>
    <w:p w14:paraId="228C9FD1">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color w:val="000000"/>
          <w:szCs w:val="21"/>
          <w:highlight w:val="none"/>
          <w:u w:val="single"/>
          <w:lang w:val="en-US" w:eastAsia="zh-CN"/>
        </w:rPr>
      </w:pPr>
      <w:r>
        <w:rPr>
          <w:rFonts w:hint="eastAsia" w:ascii="宋体" w:hAnsi="宋体"/>
          <w:color w:val="000000"/>
          <w:szCs w:val="21"/>
          <w:highlight w:val="none"/>
          <w:lang w:val="en-US" w:eastAsia="zh-CN"/>
        </w:rPr>
        <w:t>1.1.1比选人：</w:t>
      </w:r>
      <w:r>
        <w:rPr>
          <w:rFonts w:hint="eastAsia" w:ascii="宋体" w:hAnsi="宋体"/>
          <w:color w:val="000000"/>
          <w:szCs w:val="21"/>
          <w:highlight w:val="none"/>
          <w:u w:val="single"/>
          <w:lang w:val="en-US" w:eastAsia="zh-CN"/>
        </w:rPr>
        <w:t>重庆乌江画廊旅游开发有限公司阿依河分公司</w:t>
      </w:r>
    </w:p>
    <w:p w14:paraId="1608D00D">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color w:val="000000"/>
          <w:szCs w:val="21"/>
          <w:highlight w:val="none"/>
          <w:lang w:val="en-US" w:eastAsia="zh-CN"/>
        </w:rPr>
        <w:t>1.1.2项目名称：</w:t>
      </w:r>
      <w:r>
        <w:rPr>
          <w:rFonts w:hint="eastAsia" w:ascii="宋体" w:hAnsi="宋体"/>
          <w:snapToGrid w:val="0"/>
          <w:kern w:val="0"/>
          <w:szCs w:val="21"/>
          <w:highlight w:val="none"/>
          <w:u w:val="single"/>
          <w:lang w:val="en-US" w:eastAsia="zh-CN"/>
        </w:rPr>
        <w:t>阿依河景区非遗工坊改造及环境布置EPC工程</w:t>
      </w:r>
    </w:p>
    <w:p w14:paraId="62436DA1">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1.2.1资金来源：</w:t>
      </w:r>
      <w:r>
        <w:rPr>
          <w:rFonts w:hint="eastAsia" w:ascii="宋体" w:hAnsi="宋体"/>
          <w:snapToGrid w:val="0"/>
          <w:kern w:val="0"/>
          <w:szCs w:val="21"/>
          <w:highlight w:val="none"/>
          <w:u w:val="single"/>
          <w:lang w:val="en-US" w:eastAsia="zh-CN"/>
        </w:rPr>
        <w:t>自筹</w:t>
      </w:r>
    </w:p>
    <w:p w14:paraId="55492CED">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1.2.2出资比例：</w:t>
      </w:r>
      <w:r>
        <w:rPr>
          <w:rFonts w:hint="eastAsia" w:ascii="宋体" w:hAnsi="宋体"/>
          <w:snapToGrid w:val="0"/>
          <w:kern w:val="0"/>
          <w:szCs w:val="21"/>
          <w:highlight w:val="none"/>
          <w:u w:val="single"/>
          <w:lang w:val="en-US" w:eastAsia="zh-CN"/>
        </w:rPr>
        <w:t>100%</w:t>
      </w:r>
    </w:p>
    <w:p w14:paraId="2D5CB766">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1.3.1比选范围：</w:t>
      </w:r>
      <w:r>
        <w:rPr>
          <w:rFonts w:hint="eastAsia" w:ascii="宋体" w:hAnsi="宋体"/>
          <w:snapToGrid w:val="0"/>
          <w:kern w:val="0"/>
          <w:szCs w:val="21"/>
          <w:highlight w:val="none"/>
          <w:u w:val="single"/>
          <w:lang w:val="en-US" w:eastAsia="zh-CN"/>
        </w:rPr>
        <w:t>详见第一章比选公告第2条“项目概况与比选范围”</w:t>
      </w:r>
    </w:p>
    <w:p w14:paraId="234D677F">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1.3.2工期要求：</w:t>
      </w:r>
      <w:r>
        <w:rPr>
          <w:rFonts w:hint="eastAsia" w:ascii="宋体" w:hAnsi="宋体"/>
          <w:snapToGrid w:val="0"/>
          <w:kern w:val="0"/>
          <w:szCs w:val="21"/>
          <w:highlight w:val="none"/>
          <w:u w:val="single"/>
          <w:lang w:val="en-US" w:eastAsia="zh-CN"/>
        </w:rPr>
        <w:t>详见第一章比选公告第2条第2.4款“工期要求”</w:t>
      </w:r>
    </w:p>
    <w:p w14:paraId="6DD55A32">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1.4.1参选人资格要求：</w:t>
      </w:r>
      <w:r>
        <w:rPr>
          <w:rFonts w:hint="eastAsia" w:ascii="宋体" w:hAnsi="宋体"/>
          <w:snapToGrid w:val="0"/>
          <w:kern w:val="0"/>
          <w:szCs w:val="21"/>
          <w:highlight w:val="none"/>
          <w:u w:val="single"/>
          <w:lang w:val="en-US" w:eastAsia="zh-CN"/>
        </w:rPr>
        <w:t>详见第一章比选公告第3条“参选人资格要求”</w:t>
      </w:r>
    </w:p>
    <w:p w14:paraId="3A6BBDA3">
      <w:pPr>
        <w:pageBreakBefore w:val="0"/>
        <w:widowControl/>
        <w:tabs>
          <w:tab w:val="center" w:pos="4153"/>
        </w:tabs>
        <w:kinsoku/>
        <w:wordWrap/>
        <w:overflowPunct/>
        <w:topLinePunct w:val="0"/>
        <w:autoSpaceDE/>
        <w:autoSpaceDN/>
        <w:bidi w:val="0"/>
        <w:adjustRightInd/>
        <w:snapToGrid/>
        <w:spacing w:line="400" w:lineRule="exact"/>
        <w:ind w:firstLine="420" w:firstLineChars="200"/>
        <w:textAlignment w:val="auto"/>
        <w:rPr>
          <w:rFonts w:hint="default" w:ascii="宋体" w:hAnsi="宋体"/>
          <w:snapToGrid w:val="0"/>
          <w:kern w:val="0"/>
          <w:szCs w:val="21"/>
          <w:highlight w:val="none"/>
          <w:u w:val="single"/>
          <w:lang w:val="en-US" w:eastAsia="zh-CN"/>
        </w:rPr>
      </w:pPr>
      <w:r>
        <w:rPr>
          <w:rFonts w:hint="eastAsia" w:ascii="宋体" w:hAnsi="宋体"/>
          <w:snapToGrid w:val="0"/>
          <w:kern w:val="0"/>
          <w:szCs w:val="21"/>
          <w:highlight w:val="none"/>
          <w:u w:val="none"/>
          <w:lang w:val="en-US" w:eastAsia="zh-CN"/>
        </w:rPr>
        <w:t>1.4.2是否接受联合体参选：</w:t>
      </w:r>
      <w:r>
        <w:rPr>
          <w:rFonts w:hint="eastAsia" w:ascii="宋体" w:hAnsi="宋体"/>
          <w:snapToGrid w:val="0"/>
          <w:kern w:val="0"/>
          <w:szCs w:val="21"/>
          <w:highlight w:val="none"/>
          <w:u w:val="single"/>
          <w:lang w:val="en-US" w:eastAsia="zh-CN"/>
        </w:rPr>
        <w:t>详见第一章比选公告第3条第3.1款“资质条件”</w:t>
      </w:r>
    </w:p>
    <w:p w14:paraId="61FCC3C1">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2.踏勘现场</w:t>
      </w:r>
    </w:p>
    <w:p w14:paraId="1E1CB694">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ascii="宋体" w:hAnsi="宋体"/>
          <w:color w:val="000000"/>
          <w:szCs w:val="21"/>
          <w:highlight w:val="none"/>
        </w:rPr>
      </w:pPr>
      <w:r>
        <w:rPr>
          <w:rFonts w:hint="eastAsia" w:ascii="宋体" w:hAnsi="宋体"/>
          <w:color w:val="000000"/>
          <w:szCs w:val="21"/>
          <w:highlight w:val="none"/>
        </w:rPr>
        <w:t>比选人</w:t>
      </w:r>
      <w:r>
        <w:rPr>
          <w:rFonts w:ascii="宋体" w:hAnsi="宋体"/>
          <w:color w:val="000000"/>
          <w:szCs w:val="21"/>
          <w:highlight w:val="none"/>
        </w:rPr>
        <w:t>不组织，由各</w:t>
      </w:r>
      <w:r>
        <w:rPr>
          <w:rFonts w:hint="eastAsia" w:ascii="宋体" w:hAnsi="宋体"/>
          <w:color w:val="000000"/>
          <w:szCs w:val="21"/>
          <w:highlight w:val="none"/>
        </w:rPr>
        <w:t>参选人</w:t>
      </w:r>
      <w:r>
        <w:rPr>
          <w:rFonts w:ascii="宋体" w:hAnsi="宋体"/>
          <w:color w:val="000000"/>
          <w:szCs w:val="21"/>
          <w:highlight w:val="none"/>
        </w:rPr>
        <w:t>自行踏勘，</w:t>
      </w:r>
      <w:r>
        <w:rPr>
          <w:rFonts w:hint="eastAsia" w:ascii="宋体" w:hAnsi="宋体"/>
          <w:color w:val="000000"/>
          <w:szCs w:val="21"/>
          <w:highlight w:val="none"/>
        </w:rPr>
        <w:t>比选人</w:t>
      </w:r>
      <w:r>
        <w:rPr>
          <w:rFonts w:ascii="宋体" w:hAnsi="宋体"/>
          <w:color w:val="000000"/>
          <w:szCs w:val="21"/>
          <w:highlight w:val="none"/>
        </w:rPr>
        <w:t>予以配合。无论</w:t>
      </w:r>
      <w:r>
        <w:rPr>
          <w:rFonts w:hint="eastAsia" w:ascii="宋体" w:hAnsi="宋体"/>
          <w:color w:val="000000"/>
          <w:szCs w:val="21"/>
          <w:highlight w:val="none"/>
        </w:rPr>
        <w:t>参选人</w:t>
      </w:r>
      <w:r>
        <w:rPr>
          <w:rFonts w:ascii="宋体" w:hAnsi="宋体"/>
          <w:color w:val="000000"/>
          <w:szCs w:val="21"/>
          <w:highlight w:val="none"/>
        </w:rPr>
        <w:t>是否踏勘过现场，均被认为在递交</w:t>
      </w:r>
      <w:r>
        <w:rPr>
          <w:rFonts w:hint="eastAsia" w:ascii="宋体" w:hAnsi="宋体"/>
          <w:color w:val="000000"/>
          <w:szCs w:val="21"/>
          <w:highlight w:val="none"/>
        </w:rPr>
        <w:t>比选</w:t>
      </w:r>
      <w:r>
        <w:rPr>
          <w:rFonts w:ascii="宋体" w:hAnsi="宋体"/>
          <w:color w:val="000000"/>
          <w:szCs w:val="21"/>
          <w:highlight w:val="none"/>
        </w:rPr>
        <w:t>文件之前已经踏勘现场，对本项目的风险和义务已经十分了解，并在其文件中已充分考虑了现场和环境条件。踏勘现场所发生的费用由</w:t>
      </w:r>
      <w:r>
        <w:rPr>
          <w:rFonts w:hint="eastAsia" w:ascii="宋体" w:hAnsi="宋体"/>
          <w:color w:val="000000"/>
          <w:szCs w:val="21"/>
          <w:highlight w:val="none"/>
        </w:rPr>
        <w:t>参选人</w:t>
      </w:r>
      <w:r>
        <w:rPr>
          <w:rFonts w:ascii="宋体" w:hAnsi="宋体"/>
          <w:color w:val="000000"/>
          <w:szCs w:val="21"/>
          <w:highlight w:val="none"/>
        </w:rPr>
        <w:t>承担。</w:t>
      </w:r>
    </w:p>
    <w:p w14:paraId="411761A2">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bCs/>
          <w:snapToGrid w:val="0"/>
          <w:sz w:val="28"/>
          <w:szCs w:val="28"/>
          <w:highlight w:val="none"/>
        </w:rPr>
      </w:pPr>
      <w:r>
        <w:rPr>
          <w:rFonts w:hint="eastAsia" w:ascii="宋体" w:hAnsi="宋体"/>
          <w:color w:val="000000"/>
          <w:szCs w:val="21"/>
          <w:highlight w:val="none"/>
        </w:rPr>
        <w:t>参选人</w:t>
      </w:r>
      <w:r>
        <w:rPr>
          <w:rFonts w:ascii="宋体" w:hAnsi="宋体"/>
          <w:color w:val="000000"/>
          <w:szCs w:val="21"/>
          <w:highlight w:val="none"/>
        </w:rPr>
        <w:t>及其人员应当做到安全文明踏勘现场，如果</w:t>
      </w:r>
      <w:r>
        <w:rPr>
          <w:rFonts w:hint="eastAsia" w:ascii="宋体" w:hAnsi="宋体"/>
          <w:color w:val="000000"/>
          <w:szCs w:val="21"/>
          <w:highlight w:val="none"/>
        </w:rPr>
        <w:t>参选人</w:t>
      </w:r>
      <w:r>
        <w:rPr>
          <w:rFonts w:ascii="宋体" w:hAnsi="宋体"/>
          <w:color w:val="000000"/>
          <w:szCs w:val="21"/>
          <w:highlight w:val="none"/>
        </w:rPr>
        <w:t>在踏勘现场过程中造成了人身损害或财产损害，</w:t>
      </w:r>
      <w:r>
        <w:rPr>
          <w:rFonts w:hint="eastAsia" w:ascii="宋体" w:hAnsi="宋体"/>
          <w:color w:val="000000"/>
          <w:szCs w:val="21"/>
          <w:highlight w:val="none"/>
        </w:rPr>
        <w:t>参选人</w:t>
      </w:r>
      <w:r>
        <w:rPr>
          <w:rFonts w:ascii="宋体" w:hAnsi="宋体"/>
          <w:color w:val="000000"/>
          <w:szCs w:val="21"/>
          <w:highlight w:val="none"/>
        </w:rPr>
        <w:t>应当承担一切法律责任和经济责任。</w:t>
      </w:r>
    </w:p>
    <w:p w14:paraId="103E9FCF">
      <w:pPr>
        <w:pageBreakBefore w:val="0"/>
        <w:kinsoku/>
        <w:wordWrap/>
        <w:overflowPunct/>
        <w:topLinePunct w:val="0"/>
        <w:autoSpaceDE/>
        <w:autoSpaceDN/>
        <w:bidi w:val="0"/>
        <w:adjustRightInd/>
        <w:snapToGrid/>
        <w:spacing w:line="400" w:lineRule="exact"/>
        <w:jc w:val="both"/>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3.比选要求</w:t>
      </w:r>
    </w:p>
    <w:p w14:paraId="5E7F818E">
      <w:pPr>
        <w:pageBreakBefore w:val="0"/>
        <w:widowControl/>
        <w:kinsoku/>
        <w:wordWrap/>
        <w:overflowPunct/>
        <w:topLinePunct w:val="0"/>
        <w:autoSpaceDE/>
        <w:autoSpaceDN/>
        <w:bidi w:val="0"/>
        <w:adjustRightInd/>
        <w:snapToGrid/>
        <w:spacing w:line="400" w:lineRule="exact"/>
        <w:ind w:firstLine="420" w:firstLineChars="200"/>
        <w:jc w:val="both"/>
        <w:textAlignment w:val="auto"/>
        <w:rPr>
          <w:szCs w:val="21"/>
          <w:highlight w:val="none"/>
          <w:u w:val="single"/>
        </w:rPr>
      </w:pPr>
      <w:r>
        <w:rPr>
          <w:rFonts w:hint="eastAsia" w:ascii="宋体" w:hAnsi="宋体"/>
          <w:color w:val="000000"/>
          <w:szCs w:val="21"/>
          <w:highlight w:val="none"/>
        </w:rPr>
        <w:t>参选文件的组成：</w:t>
      </w:r>
      <w:r>
        <w:rPr>
          <w:rFonts w:hint="eastAsia" w:ascii="宋体" w:hAnsi="宋体"/>
          <w:color w:val="000000"/>
          <w:szCs w:val="21"/>
          <w:highlight w:val="none"/>
          <w:u w:val="single"/>
        </w:rPr>
        <w:t>报价文件、技术方案和资格审查三个部分组成。</w:t>
      </w:r>
    </w:p>
    <w:p w14:paraId="5045C573">
      <w:pPr>
        <w:pageBreakBefore w:val="0"/>
        <w:widowControl/>
        <w:kinsoku/>
        <w:wordWrap/>
        <w:overflowPunct/>
        <w:topLinePunct w:val="0"/>
        <w:autoSpaceDE/>
        <w:autoSpaceDN/>
        <w:bidi w:val="0"/>
        <w:adjustRightInd/>
        <w:snapToGrid/>
        <w:spacing w:line="400" w:lineRule="exact"/>
        <w:ind w:firstLine="422" w:firstLineChars="200"/>
        <w:jc w:val="both"/>
        <w:textAlignment w:val="auto"/>
        <w:outlineLvl w:val="2"/>
        <w:rPr>
          <w:rFonts w:ascii="宋体" w:hAnsi="宋体"/>
          <w:b/>
          <w:bCs/>
          <w:color w:val="000000"/>
          <w:szCs w:val="21"/>
          <w:highlight w:val="none"/>
        </w:rPr>
      </w:pPr>
      <w:r>
        <w:rPr>
          <w:rFonts w:hint="eastAsia" w:ascii="宋体" w:hAnsi="宋体"/>
          <w:b/>
          <w:bCs/>
          <w:color w:val="000000"/>
          <w:szCs w:val="21"/>
          <w:highlight w:val="none"/>
        </w:rPr>
        <w:t>3.1报价文件编制要求</w:t>
      </w:r>
    </w:p>
    <w:p w14:paraId="21D672AB">
      <w:pPr>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3.1.1整体费用构成</w:t>
      </w:r>
    </w:p>
    <w:p w14:paraId="3580E78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none"/>
          <w:lang w:val="en-US" w:eastAsia="zh-CN"/>
        </w:rPr>
      </w:pPr>
      <w:r>
        <w:rPr>
          <w:rFonts w:hint="default" w:ascii="宋体" w:hAnsi="宋体" w:eastAsia="宋体"/>
          <w:color w:val="000000"/>
          <w:szCs w:val="21"/>
          <w:highlight w:val="none"/>
          <w:lang w:val="en-US" w:eastAsia="zh-CN"/>
        </w:rPr>
        <w:t>本项目的</w:t>
      </w:r>
      <w:r>
        <w:rPr>
          <w:rFonts w:hint="eastAsia" w:ascii="宋体" w:hAnsi="宋体"/>
          <w:color w:val="000000"/>
          <w:szCs w:val="21"/>
          <w:highlight w:val="none"/>
          <w:lang w:val="en-US" w:eastAsia="zh-CN"/>
        </w:rPr>
        <w:t>整体</w:t>
      </w:r>
      <w:r>
        <w:rPr>
          <w:rFonts w:hint="default" w:ascii="宋体" w:hAnsi="宋体" w:eastAsia="宋体"/>
          <w:color w:val="000000"/>
          <w:szCs w:val="21"/>
          <w:highlight w:val="none"/>
          <w:lang w:val="en-US" w:eastAsia="zh-CN"/>
        </w:rPr>
        <w:t>费用由</w:t>
      </w:r>
      <w:r>
        <w:rPr>
          <w:rFonts w:hint="eastAsia" w:ascii="宋体" w:hAnsi="宋体"/>
          <w:color w:val="000000"/>
          <w:szCs w:val="21"/>
          <w:highlight w:val="none"/>
          <w:u w:val="single"/>
          <w:lang w:val="en-US" w:eastAsia="zh-CN"/>
        </w:rPr>
        <w:t>装饰工程</w:t>
      </w:r>
      <w:r>
        <w:rPr>
          <w:rFonts w:hint="default" w:ascii="宋体" w:hAnsi="宋体" w:eastAsia="宋体"/>
          <w:color w:val="000000"/>
          <w:szCs w:val="21"/>
          <w:highlight w:val="none"/>
          <w:u w:val="single"/>
          <w:lang w:val="en-US" w:eastAsia="zh-CN"/>
        </w:rPr>
        <w:t>设计费、工程费</w:t>
      </w:r>
      <w:r>
        <w:rPr>
          <w:rFonts w:hint="default" w:ascii="宋体" w:hAnsi="宋体" w:eastAsia="宋体"/>
          <w:color w:val="000000"/>
          <w:szCs w:val="21"/>
          <w:highlight w:val="none"/>
          <w:lang w:val="en-US" w:eastAsia="zh-CN"/>
        </w:rPr>
        <w:t>组成，</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报价应为完成</w:t>
      </w:r>
      <w:r>
        <w:rPr>
          <w:rFonts w:hint="eastAsia" w:ascii="宋体" w:hAnsi="宋体"/>
          <w:color w:val="000000"/>
          <w:szCs w:val="21"/>
          <w:highlight w:val="none"/>
          <w:lang w:val="en-US" w:eastAsia="zh-CN"/>
        </w:rPr>
        <w:t>比选文件第一章第2.3款</w:t>
      </w:r>
      <w:r>
        <w:rPr>
          <w:rFonts w:hint="default" w:ascii="宋体" w:hAnsi="宋体" w:eastAsia="宋体"/>
          <w:color w:val="000000"/>
          <w:szCs w:val="21"/>
          <w:highlight w:val="none"/>
          <w:lang w:val="en-US" w:eastAsia="zh-CN"/>
        </w:rPr>
        <w:t>规定的</w:t>
      </w:r>
      <w:r>
        <w:rPr>
          <w:rFonts w:hint="eastAsia" w:ascii="宋体" w:hAnsi="宋体"/>
          <w:color w:val="000000"/>
          <w:szCs w:val="21"/>
          <w:highlight w:val="none"/>
          <w:lang w:val="en-US" w:eastAsia="zh-CN"/>
        </w:rPr>
        <w:t>“比选范围及服务内容”</w:t>
      </w:r>
      <w:r>
        <w:rPr>
          <w:rFonts w:hint="default" w:ascii="宋体" w:hAnsi="宋体" w:eastAsia="宋体"/>
          <w:color w:val="000000"/>
          <w:szCs w:val="21"/>
          <w:highlight w:val="none"/>
          <w:lang w:val="en-US" w:eastAsia="zh-CN"/>
        </w:rPr>
        <w:t>范围内所有工作以及按合同约定交付</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人项目成果所需的全部费用（包括方案设计</w:t>
      </w:r>
      <w:r>
        <w:rPr>
          <w:rFonts w:hint="eastAsia" w:ascii="宋体" w:hAnsi="宋体"/>
          <w:color w:val="000000"/>
          <w:szCs w:val="21"/>
          <w:highlight w:val="none"/>
          <w:lang w:val="en-US" w:eastAsia="zh-CN"/>
        </w:rPr>
        <w:t>阶段</w:t>
      </w:r>
      <w:r>
        <w:rPr>
          <w:rFonts w:hint="default" w:ascii="宋体" w:hAnsi="宋体" w:eastAsia="宋体"/>
          <w:color w:val="000000"/>
          <w:szCs w:val="21"/>
          <w:highlight w:val="none"/>
          <w:lang w:val="en-US" w:eastAsia="zh-CN"/>
        </w:rPr>
        <w:t>、</w:t>
      </w:r>
      <w:r>
        <w:rPr>
          <w:rFonts w:hint="eastAsia" w:ascii="宋体" w:hAnsi="宋体"/>
          <w:color w:val="000000"/>
          <w:szCs w:val="21"/>
          <w:highlight w:val="none"/>
          <w:lang w:val="en-US" w:eastAsia="zh-CN"/>
        </w:rPr>
        <w:t>装饰</w:t>
      </w:r>
      <w:r>
        <w:rPr>
          <w:rFonts w:hint="default" w:ascii="宋体" w:hAnsi="宋体" w:eastAsia="宋体"/>
          <w:color w:val="000000"/>
          <w:szCs w:val="21"/>
          <w:highlight w:val="none"/>
          <w:lang w:val="en-US" w:eastAsia="zh-CN"/>
        </w:rPr>
        <w:t>工程施工图设计阶段、</w:t>
      </w:r>
      <w:r>
        <w:rPr>
          <w:rFonts w:hint="eastAsia" w:ascii="宋体" w:hAnsi="宋体"/>
          <w:color w:val="000000"/>
          <w:szCs w:val="21"/>
          <w:highlight w:val="none"/>
          <w:lang w:val="en-US" w:eastAsia="zh-CN"/>
        </w:rPr>
        <w:t>施工阶段</w:t>
      </w:r>
      <w:r>
        <w:rPr>
          <w:rFonts w:hint="default" w:ascii="宋体" w:hAnsi="宋体" w:eastAsia="宋体"/>
          <w:color w:val="000000"/>
          <w:szCs w:val="21"/>
          <w:highlight w:val="none"/>
          <w:lang w:val="en-US" w:eastAsia="zh-CN"/>
        </w:rPr>
        <w:t>、缺陷责任期全过程）。具体包括为实施和完成本项目</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范围（包括但不限于方案设计文件及</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人要求等）全部工作所需的前期准备工作、设计费（含资料费等）、管理费（含协调费等）、技术服务费、人工费、建筑设备材料费、施工机具使用费、企业管理费、利润、一般风险费、措施项目费（含临时设施费、检验检测费、系统集成费、安全文明施 工费）、其他项目费、规费、税金、</w:t>
      </w:r>
      <w:r>
        <w:rPr>
          <w:rFonts w:hint="eastAsia" w:ascii="宋体" w:hAnsi="宋体"/>
          <w:color w:val="000000"/>
          <w:szCs w:val="21"/>
          <w:highlight w:val="none"/>
          <w:lang w:val="en-US" w:eastAsia="zh-CN"/>
        </w:rPr>
        <w:t>比选</w:t>
      </w:r>
      <w:r>
        <w:rPr>
          <w:rFonts w:hint="default" w:ascii="宋体" w:hAnsi="宋体" w:eastAsia="宋体"/>
          <w:color w:val="000000"/>
          <w:szCs w:val="21"/>
          <w:highlight w:val="none"/>
          <w:lang w:val="en-US" w:eastAsia="zh-CN"/>
        </w:rPr>
        <w:t xml:space="preserve">文件及合同约定的相关费用、政策性文件规定的全部费用。 </w:t>
      </w:r>
    </w:p>
    <w:p w14:paraId="7039570B">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3.1.2</w:t>
      </w:r>
      <w:r>
        <w:rPr>
          <w:rFonts w:hint="default" w:ascii="宋体" w:hAnsi="宋体" w:eastAsia="宋体"/>
          <w:b w:val="0"/>
          <w:bCs w:val="0"/>
          <w:color w:val="000000"/>
          <w:szCs w:val="21"/>
          <w:highlight w:val="none"/>
          <w:lang w:val="en-US" w:eastAsia="zh-CN"/>
        </w:rPr>
        <w:t xml:space="preserve">报价方式 </w:t>
      </w:r>
    </w:p>
    <w:p w14:paraId="63053BF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olor w:val="000000"/>
          <w:szCs w:val="21"/>
          <w:highlight w:val="yellow"/>
          <w:lang w:val="en-US" w:eastAsia="zh-CN"/>
        </w:rPr>
      </w:pPr>
      <w:r>
        <w:rPr>
          <w:rFonts w:hint="default" w:ascii="宋体" w:hAnsi="宋体" w:eastAsia="宋体"/>
          <w:color w:val="000000"/>
          <w:szCs w:val="21"/>
          <w:highlight w:val="none"/>
          <w:lang w:val="en-US" w:eastAsia="zh-CN"/>
        </w:rPr>
        <w:t>本项目</w:t>
      </w:r>
      <w:r>
        <w:rPr>
          <w:rFonts w:hint="eastAsia" w:ascii="宋体" w:hAnsi="宋体"/>
          <w:color w:val="000000"/>
          <w:szCs w:val="21"/>
          <w:highlight w:val="none"/>
          <w:lang w:val="en-US" w:eastAsia="zh-CN"/>
        </w:rPr>
        <w:t>装饰工程</w:t>
      </w:r>
      <w:r>
        <w:rPr>
          <w:rFonts w:hint="default" w:ascii="宋体" w:hAnsi="宋体" w:eastAsia="宋体"/>
          <w:color w:val="000000"/>
          <w:szCs w:val="21"/>
          <w:highlight w:val="none"/>
          <w:lang w:val="en-US" w:eastAsia="zh-CN"/>
        </w:rPr>
        <w:t>设计费用采用</w:t>
      </w:r>
      <w:r>
        <w:rPr>
          <w:rFonts w:hint="default" w:ascii="宋体" w:hAnsi="宋体" w:eastAsia="宋体"/>
          <w:color w:val="000000"/>
          <w:szCs w:val="21"/>
          <w:highlight w:val="none"/>
          <w:u w:val="single"/>
          <w:lang w:val="en-US" w:eastAsia="zh-CN"/>
        </w:rPr>
        <w:t>总价包干方式</w:t>
      </w:r>
      <w:r>
        <w:rPr>
          <w:rFonts w:hint="eastAsia" w:ascii="宋体" w:hAnsi="宋体"/>
          <w:color w:val="000000"/>
          <w:szCs w:val="21"/>
          <w:highlight w:val="none"/>
          <w:u w:val="single"/>
          <w:lang w:val="en-US" w:eastAsia="zh-CN"/>
        </w:rPr>
        <w:t>（设计费不允许报0或负数，否则作否决参选处理）</w:t>
      </w:r>
      <w:r>
        <w:rPr>
          <w:rFonts w:hint="eastAsia" w:ascii="宋体" w:hAnsi="宋体"/>
          <w:color w:val="000000"/>
          <w:szCs w:val="21"/>
          <w:highlight w:val="none"/>
          <w:lang w:val="en-US" w:eastAsia="zh-CN"/>
        </w:rPr>
        <w:t>；</w:t>
      </w:r>
      <w:r>
        <w:rPr>
          <w:rFonts w:hint="default" w:ascii="宋体" w:hAnsi="宋体" w:eastAsia="宋体"/>
          <w:color w:val="000000"/>
          <w:szCs w:val="21"/>
          <w:highlight w:val="none"/>
          <w:lang w:val="en-US" w:eastAsia="zh-CN"/>
        </w:rPr>
        <w:t>工程费采用</w:t>
      </w:r>
      <w:r>
        <w:rPr>
          <w:rFonts w:hint="default" w:ascii="宋体" w:hAnsi="宋体" w:eastAsia="宋体"/>
          <w:color w:val="000000"/>
          <w:szCs w:val="21"/>
          <w:highlight w:val="none"/>
          <w:u w:val="single"/>
          <w:lang w:val="en-US" w:eastAsia="zh-CN"/>
        </w:rPr>
        <w:t>固定费率包干的方式</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人根据项目情况、自身实力、市场行情分别填报设计费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报价、工程费</w:t>
      </w:r>
      <w:r>
        <w:rPr>
          <w:rFonts w:hint="eastAsia" w:ascii="宋体" w:hAnsi="宋体"/>
          <w:color w:val="000000"/>
          <w:szCs w:val="21"/>
          <w:highlight w:val="none"/>
          <w:lang w:val="en-US" w:eastAsia="zh-CN"/>
        </w:rPr>
        <w:t>参选</w:t>
      </w:r>
      <w:r>
        <w:rPr>
          <w:rFonts w:hint="default" w:ascii="宋体" w:hAnsi="宋体" w:eastAsia="宋体"/>
          <w:color w:val="000000"/>
          <w:szCs w:val="21"/>
          <w:highlight w:val="none"/>
          <w:lang w:val="en-US" w:eastAsia="zh-CN"/>
        </w:rPr>
        <w:t>报价。</w:t>
      </w:r>
    </w:p>
    <w:p w14:paraId="52AB4112">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3.1.3设计费最高限价</w:t>
      </w:r>
    </w:p>
    <w:p w14:paraId="1F60BF0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本项目装饰工程设计费限价为</w:t>
      </w:r>
      <w:r>
        <w:rPr>
          <w:rFonts w:hint="eastAsia" w:ascii="宋体" w:hAnsi="宋体"/>
          <w:color w:val="000000"/>
          <w:szCs w:val="21"/>
          <w:highlight w:val="none"/>
          <w:u w:val="single"/>
          <w:lang w:val="en-US" w:eastAsia="zh-CN"/>
        </w:rPr>
        <w:t>50000</w:t>
      </w:r>
      <w:r>
        <w:rPr>
          <w:rFonts w:hint="eastAsia" w:ascii="宋体" w:hAnsi="宋体"/>
          <w:color w:val="000000"/>
          <w:szCs w:val="21"/>
          <w:highlight w:val="none"/>
          <w:lang w:val="en-US" w:eastAsia="zh-CN"/>
        </w:rPr>
        <w:t>元，装饰工程设计费采用全费用综合包干报价，装饰工程设计费报价以元为单位，保留小数点后两位，第三位四舍五入，不足两位的按实际位数保留。参选人所报装饰</w:t>
      </w:r>
      <w:r>
        <w:rPr>
          <w:rFonts w:hint="default" w:ascii="宋体" w:hAnsi="宋体"/>
          <w:color w:val="000000"/>
          <w:szCs w:val="21"/>
          <w:highlight w:val="none"/>
          <w:lang w:val="en-US" w:eastAsia="zh-CN"/>
        </w:rPr>
        <w:t>工程设计费综合包干价均不得高于</w:t>
      </w: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人设置的最高限价，否则作否决</w:t>
      </w:r>
      <w:r>
        <w:rPr>
          <w:rFonts w:hint="eastAsia" w:ascii="宋体" w:hAnsi="宋体"/>
          <w:color w:val="000000"/>
          <w:szCs w:val="21"/>
          <w:highlight w:val="none"/>
          <w:lang w:val="en-US" w:eastAsia="zh-CN"/>
        </w:rPr>
        <w:t>参选</w:t>
      </w:r>
      <w:r>
        <w:rPr>
          <w:rFonts w:hint="default" w:ascii="宋体" w:hAnsi="宋体"/>
          <w:color w:val="000000"/>
          <w:szCs w:val="21"/>
          <w:highlight w:val="none"/>
          <w:lang w:val="en-US" w:eastAsia="zh-CN"/>
        </w:rPr>
        <w:t>处理。</w:t>
      </w:r>
    </w:p>
    <w:p w14:paraId="49DC41E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3.1.4工程费最高限价</w:t>
      </w:r>
    </w:p>
    <w:p w14:paraId="609B09E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工程费参选报价包括完成比选范围内工程项目的</w:t>
      </w:r>
      <w:r>
        <w:rPr>
          <w:rFonts w:hint="default" w:ascii="宋体" w:hAnsi="宋体"/>
          <w:color w:val="000000"/>
          <w:szCs w:val="21"/>
          <w:highlight w:val="none"/>
          <w:lang w:val="en-US" w:eastAsia="zh-CN"/>
        </w:rPr>
        <w:t>人工费、建筑设备材料费、施工机具使用费、企业管理费、利润、一般风险费、措施项目费（含临时设施费、系统集成费、安全文明施工费）、其他项目费、规费、税金、二次及多次转运费、风险费、缺陷修复费、配合费及其他施工保险费、软件开发（或购买）费及升级费用、调试费、</w:t>
      </w: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文件及合同约定的相关费用、政策性文件规定费用、承包合同中约定的各项手续费、临时用地费及其它费用等所有费用，以及承包合同明示或暗示的所有责任、义务和风险等所有费用。</w:t>
      </w:r>
    </w:p>
    <w:p w14:paraId="6B59E40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参选人应根据计价原则，结合项目情况、自身实力、市场行情自行填报工</w:t>
      </w:r>
      <w:r>
        <w:rPr>
          <w:rFonts w:hint="eastAsia" w:ascii="宋体" w:hAnsi="宋体" w:eastAsia="宋体" w:cs="宋体"/>
          <w:color w:val="000000"/>
          <w:kern w:val="0"/>
          <w:sz w:val="21"/>
          <w:szCs w:val="21"/>
          <w:lang w:val="en-US" w:eastAsia="zh-CN" w:bidi="ar"/>
        </w:rPr>
        <w:t>程固定费率，本项目造价税前总造价下浮（下浮率=1-工程固定费率，其中认质核价部分、安全文明施工费、</w:t>
      </w:r>
      <w:r>
        <w:rPr>
          <w:rFonts w:hint="eastAsia" w:ascii="宋体" w:hAnsi="宋体"/>
          <w:color w:val="000000"/>
          <w:szCs w:val="21"/>
          <w:highlight w:val="none"/>
          <w:lang w:val="en-US" w:eastAsia="zh-CN"/>
        </w:rPr>
        <w:t>规费、单独另有约定的项目不下浮），建筑安装工程固定费率中选后不再调整。</w:t>
      </w:r>
    </w:p>
    <w:p w14:paraId="204279A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人对工程费报价设置</w:t>
      </w: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控制价，即设置最高工程费固定费率，</w:t>
      </w: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人工程费固定费率（工程费固定费率报价以百分号为单位，百分号前保留两位小数，第三位四舍五入，不足两位的按实</w:t>
      </w:r>
      <w:r>
        <w:rPr>
          <w:rFonts w:hint="eastAsia" w:ascii="宋体" w:hAnsi="宋体"/>
          <w:color w:val="000000"/>
          <w:szCs w:val="21"/>
          <w:highlight w:val="none"/>
          <w:lang w:val="en-US" w:eastAsia="zh-CN"/>
        </w:rPr>
        <w:t>际位数保留）不得高于92%，否则参选文件将被否决。</w:t>
      </w:r>
    </w:p>
    <w:p w14:paraId="07F4DCF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3.1.5</w:t>
      </w:r>
      <w:r>
        <w:rPr>
          <w:rFonts w:hint="default" w:ascii="宋体" w:hAnsi="宋体"/>
          <w:color w:val="000000"/>
          <w:szCs w:val="21"/>
          <w:highlight w:val="none"/>
          <w:lang w:val="en-US" w:eastAsia="zh-CN"/>
        </w:rPr>
        <w:t>工程费计价原则</w:t>
      </w:r>
    </w:p>
    <w:p w14:paraId="7AAC91E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（1）</w:t>
      </w:r>
      <w:r>
        <w:rPr>
          <w:rFonts w:hint="default" w:ascii="宋体" w:hAnsi="宋体"/>
          <w:color w:val="000000"/>
          <w:szCs w:val="21"/>
          <w:highlight w:val="none"/>
          <w:lang w:val="en-US" w:eastAsia="zh-CN"/>
        </w:rPr>
        <w:t xml:space="preserve">使用国有资金投资的建设工程发承包，必须采用工程量清单计价。工程量清单应采用综合单价计价。 </w:t>
      </w:r>
    </w:p>
    <w:p w14:paraId="6755689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color w:val="000000"/>
          <w:szCs w:val="21"/>
          <w:highlight w:val="none"/>
          <w:lang w:val="en-US" w:eastAsia="zh-CN"/>
        </w:rPr>
        <w:t>（2）以《重庆市城乡建设委员会关于建</w:t>
      </w:r>
      <w:r>
        <w:rPr>
          <w:rFonts w:hint="eastAsia" w:ascii="宋体" w:hAnsi="宋体" w:eastAsia="宋体" w:cs="宋体"/>
          <w:color w:val="000000"/>
          <w:kern w:val="0"/>
          <w:sz w:val="21"/>
          <w:szCs w:val="21"/>
          <w:highlight w:val="none"/>
          <w:lang w:val="en-US" w:eastAsia="zh-CN" w:bidi="ar"/>
        </w:rPr>
        <w:t xml:space="preserve">筑业营业税改征增值税调整建设工程计价依据的通知》（渝建（2016）35 号）、《重庆市住房和城乡建设委员会关于适用增值税新税率调整建设工程计价依据的通知》渝建（2019）143 号）、《重庆市建设工程工程量计算规则》 </w:t>
      </w:r>
    </w:p>
    <w:p w14:paraId="14BF2F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highlight w:val="yellow"/>
        </w:rPr>
      </w:pPr>
      <w:r>
        <w:rPr>
          <w:rFonts w:hint="eastAsia" w:ascii="宋体" w:hAnsi="宋体" w:eastAsia="宋体" w:cs="宋体"/>
          <w:color w:val="000000"/>
          <w:kern w:val="0"/>
          <w:sz w:val="21"/>
          <w:szCs w:val="21"/>
          <w:highlight w:val="none"/>
          <w:lang w:val="en-US" w:eastAsia="zh-CN" w:bidi="ar"/>
        </w:rPr>
        <w:t>（CQJLG-2013）、《建设工程工程量清单计价规范》（GB50500-2013）、《重庆市建设工程工程量清单计价规则》（CQQDGZ-2013）、《重庆市建设工程工程量清单计价编制指南》（2013）、《重庆市建设工程费用定额》 CQFYDE-2018 ）、《重庆市建筑工程计价定额》 （CQJZDE-2018）、《重庆市安装工程计价定额》（CQAZDE-2018）、 《重庆市装饰工程计价定额》（CQZSDE-2018）、《重庆市市政工程计价定额》（CQSZDE-2018）、《混凝土及砂浆配合比表、施工机械台班定额》（CQPSDE-2018）、《重庆建筑工程施工仪器仪表台班定额》（CQYQYBDE-2018）《重庆市建设工程造价管理总站关于颁发2018年重庆市建设工程计价定额综合解释的通知》（渝建价发〔2019〕16号）等及相关配套文件为依据，自行编制预算、工程量清单及清单组价并报比选人审核。完工验收前因调试、试运行等产生的电费由参选人自理。</w:t>
      </w:r>
    </w:p>
    <w:p w14:paraId="5DBE82B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（3）人工单价的确定原则 </w:t>
      </w:r>
    </w:p>
    <w:p w14:paraId="4E4EB44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按重庆市建设工程造价总站主办且配套2018定额使用的2026年第一季《重庆工程造价》发布的人工信息价执行。</w:t>
      </w:r>
    </w:p>
    <w:p w14:paraId="0EAE7BB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（4）材料和设备 </w:t>
      </w:r>
    </w:p>
    <w:p w14:paraId="7817D8F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 xml:space="preserve">按重庆市建设工程造价总站主办且配套2018定额使用的2026年第四期《重庆工程造价信息》发布的信息价执行，不执行厂商信息价。 </w:t>
      </w:r>
    </w:p>
    <w:p w14:paraId="4BEEC26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重庆工程造价信息》无相应指导价的材料和设备价格确定方法：由比选人组织中选人、监理单位、造价咨询单位等人员共同进行市场询价后综合考虑确定，最终以比选人认质核价为准。比选人审批的材料和设备价格，中选人不予认可的，中选人无条件接受该部分材料和设备改为甲供，同时对中选人处以该部分材料和设备价格10%的违约金。并不就此收取采保费、下车费，由此造</w:t>
      </w:r>
      <w:r>
        <w:rPr>
          <w:rFonts w:hint="eastAsia" w:ascii="宋体" w:hAnsi="宋体"/>
          <w:color w:val="000000"/>
          <w:szCs w:val="21"/>
          <w:highlight w:val="none"/>
          <w:lang w:val="en-US" w:eastAsia="zh-CN"/>
        </w:rPr>
        <w:t>成项目工期延误和其它损失的由中选人承担。本工程所需的材料和设备，应在采购前十日内将拟采购材料和设备的厂家、技术参数、品牌、质量等级等指标以书面形式告知比选人，比选人收到中选人的书面报告</w:t>
      </w:r>
      <w:r>
        <w:rPr>
          <w:rFonts w:hint="default" w:ascii="宋体" w:hAnsi="宋体"/>
          <w:color w:val="000000"/>
          <w:szCs w:val="21"/>
          <w:highlight w:val="none"/>
          <w:lang w:val="en-US" w:eastAsia="zh-CN"/>
        </w:rPr>
        <w:t>后十五日内予以确认，经招标人认质、封样（如有必要）后中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人方可采购进场。在材料和设备采购过程中</w:t>
      </w:r>
      <w:r>
        <w:rPr>
          <w:rFonts w:hint="eastAsia" w:ascii="宋体" w:hAnsi="宋体"/>
          <w:color w:val="000000"/>
          <w:szCs w:val="21"/>
          <w:highlight w:val="none"/>
          <w:lang w:val="en-US" w:eastAsia="zh-CN"/>
        </w:rPr>
        <w:t>比选</w:t>
      </w:r>
      <w:r>
        <w:rPr>
          <w:rFonts w:hint="default" w:ascii="宋体" w:hAnsi="宋体"/>
          <w:color w:val="000000"/>
          <w:szCs w:val="21"/>
          <w:highlight w:val="none"/>
          <w:lang w:val="en-US" w:eastAsia="zh-CN"/>
        </w:rPr>
        <w:t>人发现中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人所采购材料和设备不符合质量要求或者与采购前申报的品牌不符，要求中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人更换中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人不予更换的，中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人无条件接受该部分材料和设备改为甲供，同时处以该部分</w:t>
      </w:r>
      <w:r>
        <w:rPr>
          <w:rFonts w:hint="eastAsia" w:ascii="宋体" w:hAnsi="宋体"/>
          <w:color w:val="000000"/>
          <w:szCs w:val="21"/>
          <w:highlight w:val="none"/>
          <w:lang w:val="en-US" w:eastAsia="zh-CN"/>
        </w:rPr>
        <w:t>比选人</w:t>
      </w:r>
      <w:r>
        <w:rPr>
          <w:rFonts w:hint="default" w:ascii="宋体" w:hAnsi="宋体"/>
          <w:color w:val="000000"/>
          <w:szCs w:val="21"/>
          <w:highlight w:val="none"/>
          <w:lang w:val="en-US" w:eastAsia="zh-CN"/>
        </w:rPr>
        <w:t xml:space="preserve">采购价款总价 </w:t>
      </w:r>
      <w:r>
        <w:rPr>
          <w:rFonts w:hint="eastAsia" w:ascii="宋体" w:hAnsi="宋体"/>
          <w:color w:val="000000"/>
          <w:szCs w:val="21"/>
          <w:highlight w:val="none"/>
          <w:lang w:val="en-US" w:eastAsia="zh-CN"/>
        </w:rPr>
        <w:t>20%</w:t>
      </w:r>
      <w:r>
        <w:rPr>
          <w:rFonts w:hint="default" w:ascii="宋体" w:hAnsi="宋体"/>
          <w:color w:val="000000"/>
          <w:szCs w:val="21"/>
          <w:highlight w:val="none"/>
          <w:lang w:val="en-US" w:eastAsia="zh-CN"/>
        </w:rPr>
        <w:t>的罚款。并不就此收取采保费、下车费，由此造成项目工期延误和其它损失的由中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 xml:space="preserve">人承担。 </w:t>
      </w:r>
    </w:p>
    <w:p w14:paraId="5048C20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 xml:space="preserve">③人工费价差调整办法：不调差 </w:t>
      </w:r>
    </w:p>
    <w:p w14:paraId="4FEEE94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color w:val="000000"/>
          <w:szCs w:val="21"/>
          <w:highlight w:val="none"/>
          <w:lang w:val="en-US" w:eastAsia="zh-CN"/>
        </w:rPr>
        <w:t>（5）措施费计价原则：按《重庆市建设工程费用</w:t>
      </w:r>
      <w:r>
        <w:rPr>
          <w:rFonts w:hint="eastAsia" w:ascii="宋体" w:hAnsi="宋体" w:eastAsia="宋体" w:cs="宋体"/>
          <w:color w:val="000000"/>
          <w:kern w:val="0"/>
          <w:sz w:val="21"/>
          <w:szCs w:val="21"/>
          <w:highlight w:val="none"/>
          <w:lang w:val="en-US" w:eastAsia="zh-CN" w:bidi="ar"/>
        </w:rPr>
        <w:t xml:space="preserve">定额》（CQFYDE-2018）及相关文件规定执行。 </w:t>
      </w:r>
    </w:p>
    <w:p w14:paraId="4212C25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（6）安全文明施工费： </w:t>
      </w:r>
    </w:p>
    <w:p w14:paraId="660EF1D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default" w:ascii="瀹嬩綋" w:hAnsi="瀹嬩綋" w:eastAsia="瀹嬩綋" w:cs="瀹嬩綋"/>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根据《重庆城乡建设委员会关于印《重庆市建设工程安全文明施工费计取及使用管理规定(2024版)》(渝建管〔2024〕38号〕文件规定，安全文明施工费由安全施工费、文明施工费、环境保护费及临时设施费组成。</w:t>
      </w:r>
    </w:p>
    <w:p w14:paraId="6E1FDAE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ascii="瀹嬩綋" w:hAnsi="瀹嬩綋" w:eastAsia="瀹嬩綋" w:cs="瀹嬩綋"/>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本工程安全文明施工费根据《建设工程工程量清单计价规范》（GB50500-2013）、《重庆市建设工程工程量清单计价规则》（CQJJGZ-2013）、《重庆城乡建设委员会关于印《重庆市建设工程安全文明施工费计取及使用管理规定(2024版)》(渝建管〔2024〕38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号）的相关规定和费用标准单列计算。</w:t>
      </w:r>
    </w:p>
    <w:p w14:paraId="07867DB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（7）本项目所采用技术、工艺和产品等必须执行重庆市住房和城乡建设委员会关于发布《重庆市建设领域禁止、限制使用落后技术通告（2019 年版）（渝建发〔2019〕25 号）的规定。 </w:t>
      </w:r>
    </w:p>
    <w:p w14:paraId="155C7A9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eastAsia="宋体" w:cs="宋体"/>
          <w:color w:val="000000"/>
          <w:kern w:val="0"/>
          <w:sz w:val="21"/>
          <w:szCs w:val="21"/>
          <w:highlight w:val="none"/>
          <w:lang w:val="en-US" w:eastAsia="zh-CN" w:bidi="ar"/>
        </w:rPr>
        <w:t>（8）增值税计税方法由招标人依据</w:t>
      </w:r>
      <w:r>
        <w:rPr>
          <w:rFonts w:hint="eastAsia" w:ascii="宋体" w:hAnsi="宋体"/>
          <w:color w:val="000000"/>
          <w:szCs w:val="21"/>
          <w:highlight w:val="none"/>
          <w:lang w:val="en-US" w:eastAsia="zh-CN"/>
        </w:rPr>
        <w:t>国家税法规定选择：</w:t>
      </w:r>
      <w:r>
        <w:rPr>
          <w:rFonts w:hint="default" w:ascii="宋体" w:hAnsi="宋体"/>
          <w:color w:val="000000"/>
          <w:szCs w:val="21"/>
          <w:highlight w:val="none"/>
          <w:lang w:val="en-US" w:eastAsia="zh-CN"/>
        </w:rPr>
        <w:t>一般计税法</w:t>
      </w:r>
      <w:r>
        <w:rPr>
          <w:rFonts w:hint="eastAsia" w:ascii="宋体" w:hAnsi="宋体"/>
          <w:color w:val="000000"/>
          <w:szCs w:val="21"/>
          <w:highlight w:val="none"/>
          <w:lang w:val="en-US" w:eastAsia="zh-CN"/>
        </w:rPr>
        <w:t>。</w:t>
      </w:r>
    </w:p>
    <w:p w14:paraId="5214123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（9）参选人</w:t>
      </w:r>
      <w:r>
        <w:rPr>
          <w:rFonts w:hint="default" w:ascii="宋体" w:hAnsi="宋体"/>
          <w:color w:val="000000"/>
          <w:szCs w:val="21"/>
          <w:highlight w:val="none"/>
          <w:lang w:val="en-US" w:eastAsia="zh-CN"/>
        </w:rPr>
        <w:t>报工程费固定费率时，应将完成该工程发生的包括但不限于以下措施及风险费用纳入本次</w:t>
      </w:r>
      <w:r>
        <w:rPr>
          <w:rFonts w:hint="eastAsia" w:ascii="宋体" w:hAnsi="宋体"/>
          <w:color w:val="000000"/>
          <w:szCs w:val="21"/>
          <w:highlight w:val="none"/>
          <w:lang w:val="en-US" w:eastAsia="zh-CN"/>
        </w:rPr>
        <w:t>参选</w:t>
      </w:r>
      <w:r>
        <w:rPr>
          <w:rFonts w:hint="default" w:ascii="宋体" w:hAnsi="宋体"/>
          <w:color w:val="000000"/>
          <w:szCs w:val="21"/>
          <w:highlight w:val="none"/>
          <w:lang w:val="en-US" w:eastAsia="zh-CN"/>
        </w:rPr>
        <w:t xml:space="preserve">报价内，清单预算编制及结算时不再单独计量计价： </w:t>
      </w:r>
    </w:p>
    <w:p w14:paraId="03B85C9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①本工程位于风景旅游区，因旅游限制、旅游管控、旅游检查、旅游人流量多等需采取各种安全、文明措施、管控措施或因上述原因引起的后续赶工措施等所发生的费用。</w:t>
      </w:r>
    </w:p>
    <w:p w14:paraId="2AE145C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②</w:t>
      </w:r>
      <w:r>
        <w:rPr>
          <w:rFonts w:hint="eastAsia" w:ascii="宋体" w:hAnsi="宋体"/>
          <w:color w:val="000000"/>
          <w:szCs w:val="21"/>
          <w:highlight w:val="none"/>
          <w:lang w:val="en-US" w:eastAsia="zh-CN"/>
        </w:rPr>
        <w:t>参选</w:t>
      </w:r>
      <w:r>
        <w:rPr>
          <w:rFonts w:hint="default" w:ascii="宋体" w:hAnsi="宋体"/>
          <w:color w:val="000000"/>
          <w:szCs w:val="21"/>
          <w:highlight w:val="none"/>
          <w:lang w:val="en-US" w:eastAsia="zh-CN"/>
        </w:rPr>
        <w:t xml:space="preserve">人必须仔细勘察施工现场，自行考虑材料、建筑垃圾和各类机械设备等的二次及多次运转以及因转运需要修建的临时道路所发生的费用； </w:t>
      </w:r>
    </w:p>
    <w:p w14:paraId="44EB9F8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③</w:t>
      </w:r>
      <w:r>
        <w:rPr>
          <w:rFonts w:hint="default" w:ascii="宋体" w:hAnsi="宋体"/>
          <w:color w:val="000000"/>
          <w:szCs w:val="21"/>
          <w:highlight w:val="none"/>
          <w:lang w:val="en-US" w:eastAsia="zh-CN"/>
        </w:rPr>
        <w:t>工程所需要的临时设施用地手续的办理费用、工程范围内所有项目完工后的拆走、清理、清洁（初次开荒）、平整以及除渣（包括场内外运输以及渣场）的费用、按照相关单位有关现场安全文明、环境保护、消防等管理要求需由</w:t>
      </w:r>
      <w:r>
        <w:rPr>
          <w:rFonts w:hint="eastAsia" w:ascii="宋体" w:hAnsi="宋体"/>
          <w:color w:val="000000"/>
          <w:szCs w:val="21"/>
          <w:highlight w:val="none"/>
          <w:lang w:val="en-US" w:eastAsia="zh-CN"/>
        </w:rPr>
        <w:t>参选</w:t>
      </w:r>
      <w:r>
        <w:rPr>
          <w:rFonts w:hint="default" w:ascii="宋体" w:hAnsi="宋体"/>
          <w:color w:val="000000"/>
          <w:szCs w:val="21"/>
          <w:highlight w:val="none"/>
          <w:lang w:val="en-US" w:eastAsia="zh-CN"/>
        </w:rPr>
        <w:t xml:space="preserve">方自行设置的现场标识、安全标示、 </w:t>
      </w:r>
    </w:p>
    <w:p w14:paraId="4CE53E8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default" w:ascii="宋体" w:hAnsi="宋体"/>
          <w:color w:val="000000"/>
          <w:szCs w:val="21"/>
          <w:highlight w:val="none"/>
          <w:lang w:val="en-US" w:eastAsia="zh-CN"/>
        </w:rPr>
        <w:t xml:space="preserve">工器具等费用； </w:t>
      </w:r>
    </w:p>
    <w:p w14:paraId="195E89CD">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④</w:t>
      </w:r>
      <w:r>
        <w:rPr>
          <w:rFonts w:hint="default" w:ascii="宋体" w:hAnsi="宋体"/>
          <w:color w:val="000000"/>
          <w:szCs w:val="21"/>
          <w:highlight w:val="none"/>
          <w:lang w:val="en-US" w:eastAsia="zh-CN"/>
        </w:rPr>
        <w:t>反季节栽植措施、高温补贴和迎接各类检查发生的费用</w:t>
      </w:r>
      <w:r>
        <w:rPr>
          <w:rFonts w:hint="eastAsia" w:ascii="宋体" w:hAnsi="宋体"/>
          <w:color w:val="000000"/>
          <w:szCs w:val="21"/>
          <w:highlight w:val="none"/>
          <w:lang w:val="en-US" w:eastAsia="zh-CN"/>
        </w:rPr>
        <w:t>；</w:t>
      </w:r>
    </w:p>
    <w:p w14:paraId="5A33957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⑤</w:t>
      </w:r>
      <w:r>
        <w:rPr>
          <w:rFonts w:hint="default" w:ascii="宋体" w:hAnsi="宋体"/>
          <w:color w:val="000000"/>
          <w:szCs w:val="21"/>
          <w:highlight w:val="none"/>
          <w:lang w:val="en-US" w:eastAsia="zh-CN"/>
        </w:rPr>
        <w:t>除拆除工程外</w:t>
      </w:r>
      <w:r>
        <w:rPr>
          <w:rFonts w:hint="eastAsia" w:ascii="宋体" w:hAnsi="宋体"/>
          <w:color w:val="000000"/>
          <w:szCs w:val="21"/>
          <w:highlight w:val="none"/>
          <w:lang w:val="en-US" w:eastAsia="zh-CN"/>
        </w:rPr>
        <w:t>参选</w:t>
      </w:r>
      <w:r>
        <w:rPr>
          <w:rFonts w:hint="default" w:ascii="宋体" w:hAnsi="宋体"/>
          <w:color w:val="000000"/>
          <w:szCs w:val="21"/>
          <w:highlight w:val="none"/>
          <w:lang w:val="en-US" w:eastAsia="zh-CN"/>
        </w:rPr>
        <w:t xml:space="preserve">人应充分考虑弃渣的所有费用（包含但不限于如渣场的确定、堆放、平整、安全、稳定、管理、租借等）； </w:t>
      </w:r>
    </w:p>
    <w:p w14:paraId="2715995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⑥</w:t>
      </w:r>
      <w:r>
        <w:rPr>
          <w:rFonts w:hint="default" w:ascii="宋体" w:hAnsi="宋体"/>
          <w:color w:val="000000"/>
          <w:szCs w:val="21"/>
          <w:highlight w:val="none"/>
          <w:lang w:val="en-US" w:eastAsia="zh-CN"/>
        </w:rPr>
        <w:t>交通组织措施费用应包含开口费、恢复费、市政围挡、每个开</w:t>
      </w:r>
      <w:r>
        <w:rPr>
          <w:rFonts w:hint="eastAsia" w:ascii="宋体" w:hAnsi="宋体"/>
          <w:color w:val="000000"/>
          <w:szCs w:val="21"/>
          <w:highlight w:val="none"/>
          <w:lang w:val="en-US" w:eastAsia="zh-CN"/>
        </w:rPr>
        <w:t xml:space="preserve">口需配置 1-2 名协勤人员等措施。交通组织措施费包含在施工技术措施项目清单中，纳入本次参选报价； </w:t>
      </w:r>
    </w:p>
    <w:p w14:paraId="081B2DE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⑦</w:t>
      </w:r>
      <w:r>
        <w:rPr>
          <w:rFonts w:hint="default" w:ascii="宋体" w:hAnsi="宋体"/>
          <w:color w:val="000000"/>
          <w:szCs w:val="21"/>
          <w:highlight w:val="none"/>
          <w:lang w:val="en-US" w:eastAsia="zh-CN"/>
        </w:rPr>
        <w:t>环保部门应收取的工程排污费、土石方和建渣市政上路费由</w:t>
      </w:r>
      <w:r>
        <w:rPr>
          <w:rFonts w:hint="eastAsia" w:ascii="宋体" w:hAnsi="宋体"/>
          <w:color w:val="000000"/>
          <w:szCs w:val="21"/>
          <w:highlight w:val="none"/>
          <w:lang w:val="en-US" w:eastAsia="zh-CN"/>
        </w:rPr>
        <w:t>参选人</w:t>
      </w:r>
      <w:r>
        <w:rPr>
          <w:rFonts w:hint="default" w:ascii="宋体" w:hAnsi="宋体"/>
          <w:color w:val="000000"/>
          <w:szCs w:val="21"/>
          <w:highlight w:val="none"/>
          <w:lang w:val="en-US" w:eastAsia="zh-CN"/>
        </w:rPr>
        <w:t>自行测算并按现行收费标准缴纳，</w:t>
      </w:r>
      <w:r>
        <w:rPr>
          <w:rFonts w:hint="eastAsia" w:ascii="宋体" w:hAnsi="宋体"/>
          <w:color w:val="000000"/>
          <w:szCs w:val="21"/>
          <w:highlight w:val="none"/>
          <w:lang w:val="en-US" w:eastAsia="zh-CN"/>
        </w:rPr>
        <w:t>参选人</w:t>
      </w:r>
      <w:r>
        <w:rPr>
          <w:rFonts w:hint="default" w:ascii="宋体" w:hAnsi="宋体"/>
          <w:color w:val="000000"/>
          <w:szCs w:val="21"/>
          <w:highlight w:val="none"/>
          <w:lang w:val="en-US" w:eastAsia="zh-CN"/>
        </w:rPr>
        <w:t>投标时，将此费用综合考虑在投标报价内</w:t>
      </w:r>
      <w:r>
        <w:rPr>
          <w:rFonts w:hint="eastAsia" w:ascii="宋体" w:hAnsi="宋体"/>
          <w:color w:val="000000"/>
          <w:szCs w:val="21"/>
          <w:highlight w:val="none"/>
          <w:lang w:val="en-US" w:eastAsia="zh-CN"/>
        </w:rPr>
        <w:t>。</w:t>
      </w:r>
    </w:p>
    <w:p w14:paraId="7EA3AD8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ascii="瀹嬩綋" w:hAnsi="瀹嬩綋" w:eastAsia="瀹嬩綋" w:cs="瀹嬩綋"/>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lang w:val="en-US" w:eastAsia="zh-CN" w:bidi="ar"/>
        </w:rPr>
        <w:t>10）中选人应根据前述报价原则和计价原则编制工程量清单并进行清单组价（清单组价应按中标下浮比例（中选下浮比例=1-工程费固定费率）下浮）并向比选人申报，由比选人委托第三方咨询机构进行审查，审定的工程量清单及其综合单价作为进度款支付及结算依据，结算时工程量据实结算。</w:t>
      </w:r>
    </w:p>
    <w:p w14:paraId="6F0E4F3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highlight w:val="none"/>
        </w:rPr>
      </w:pPr>
      <w:r>
        <w:rPr>
          <w:rFonts w:hint="eastAsia" w:ascii="宋体" w:hAnsi="宋体" w:eastAsia="宋体" w:cs="宋体"/>
          <w:b w:val="0"/>
          <w:bCs w:val="0"/>
          <w:color w:val="000000"/>
          <w:kern w:val="0"/>
          <w:sz w:val="21"/>
          <w:szCs w:val="21"/>
          <w:highlight w:val="none"/>
          <w:lang w:val="en-US" w:eastAsia="zh-CN" w:bidi="ar"/>
        </w:rPr>
        <w:t xml:space="preserve">3.1.6结算原则 </w:t>
      </w:r>
    </w:p>
    <w:p w14:paraId="6D3874FF">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合同结算价=全费用装饰工程设计费+工程结算价±合同约定的其他费用。合同约定的其他费用包括变更结算金额、索赔赔付金额、奖励、罚金、违约金、价差调整等。 </w:t>
      </w:r>
    </w:p>
    <w:p w14:paraId="49F16C3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（一）设计费结算原则 </w:t>
      </w:r>
    </w:p>
    <w:p w14:paraId="4097923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254FB2B6">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（二）工程费结算原则 </w:t>
      </w:r>
    </w:p>
    <w:p w14:paraId="4294A7D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（1）施工图预算编制</w:t>
      </w:r>
    </w:p>
    <w:p w14:paraId="10155AD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eastAsia="宋体" w:cs="宋体"/>
          <w:color w:val="000000"/>
          <w:kern w:val="0"/>
          <w:sz w:val="21"/>
          <w:szCs w:val="21"/>
          <w:highlight w:val="none"/>
          <w:lang w:val="en-US" w:eastAsia="zh-CN" w:bidi="ar"/>
        </w:rPr>
        <w:t>中选人在施工设计图纸编制完成后，应根据本比选文件中所规定的参选报价中规定的报价原则和计价原则及中标下浮比例（中选下浮比例=1-工程费固定费率）编制工程量清单并进行清单组价（清单组价应按中标下浮比例下</w:t>
      </w:r>
      <w:r>
        <w:rPr>
          <w:rFonts w:hint="eastAsia" w:ascii="宋体" w:hAnsi="宋体"/>
          <w:color w:val="000000"/>
          <w:szCs w:val="21"/>
          <w:highlight w:val="none"/>
          <w:lang w:val="en-US" w:eastAsia="zh-CN"/>
        </w:rPr>
        <w:t>浮）并向比选人申报（比选人审定施工设计图纸后，中选人应按审定后的图纸对工程量清单和清单组价进行调整后再次报），由比选人审查后，审定的工程量</w:t>
      </w:r>
      <w:r>
        <w:rPr>
          <w:rFonts w:hint="default" w:ascii="宋体" w:hAnsi="宋体"/>
          <w:color w:val="000000"/>
          <w:szCs w:val="21"/>
          <w:highlight w:val="none"/>
          <w:lang w:val="en-US" w:eastAsia="zh-CN"/>
        </w:rPr>
        <w:t>清单及其综合单价作为进度款支付及结算依据，工程量据实结算；中</w:t>
      </w:r>
      <w:r>
        <w:rPr>
          <w:rFonts w:hint="eastAsia" w:ascii="宋体" w:hAnsi="宋体"/>
          <w:color w:val="000000"/>
          <w:szCs w:val="21"/>
          <w:highlight w:val="none"/>
          <w:lang w:val="en-US" w:eastAsia="zh-CN"/>
        </w:rPr>
        <w:t>选</w:t>
      </w:r>
      <w:r>
        <w:rPr>
          <w:rFonts w:hint="default" w:ascii="宋体" w:hAnsi="宋体"/>
          <w:color w:val="000000"/>
          <w:szCs w:val="21"/>
          <w:highlight w:val="none"/>
          <w:lang w:val="en-US" w:eastAsia="zh-CN"/>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07815A7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（2）工程费结算</w:t>
      </w:r>
    </w:p>
    <w:p w14:paraId="0D6E502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color w:val="000000"/>
          <w:szCs w:val="21"/>
          <w:highlight w:val="none"/>
          <w:lang w:val="en-US" w:eastAsia="zh-CN"/>
        </w:rPr>
        <w:t>特别说明：本项目工程部分采取限额结算。以350000元</w:t>
      </w:r>
      <w:r>
        <w:rPr>
          <w:rFonts w:hint="eastAsia" w:ascii="宋体" w:hAnsi="宋体" w:eastAsia="宋体" w:cs="宋体"/>
          <w:color w:val="000000"/>
          <w:kern w:val="0"/>
          <w:sz w:val="21"/>
          <w:szCs w:val="21"/>
          <w:highlight w:val="none"/>
          <w:u w:val="single"/>
          <w:lang w:val="en-US" w:eastAsia="zh-CN" w:bidi="ar"/>
        </w:rPr>
        <w:t xml:space="preserve">作为结算限额，工程结算金额在结算限额内时，根据结算原则按实结算；若工程结算金额超过结算限额时，按结算限额结算。 </w:t>
      </w:r>
    </w:p>
    <w:p w14:paraId="0EB2291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结算价=已完工合格分部分项工程量清单结算价+措施费(安全文明施工费除外)+分部分项工程量清单新增或变更等引起的增(减)子项结算价+暂列金额确定价+安全文明施工费+规费+税金，各部分的结算原则如下：</w:t>
      </w:r>
    </w:p>
    <w:p w14:paraId="32F1179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44A2888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6EE8AFD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5B588B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6CCBED2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2D46B41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7B78CC0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2D1DAB3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46551A3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772C42F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7）变更估价原则：本工程所有变更均由中选人实施，但不增加任何设计费用；在工程施工过程中，因中选人自身原因造成的设计文件</w:t>
      </w:r>
      <w:r>
        <w:rPr>
          <w:rFonts w:hint="eastAsia" w:ascii="宋体" w:hAnsi="宋体"/>
          <w:color w:val="000000"/>
          <w:szCs w:val="21"/>
          <w:highlight w:val="none"/>
          <w:lang w:val="en-US" w:eastAsia="zh-CN"/>
        </w:rPr>
        <w:t>有缺陷，中选人应无条件修改设计及施工内容</w:t>
      </w:r>
      <w:r>
        <w:rPr>
          <w:rFonts w:hint="default" w:ascii="宋体" w:hAnsi="宋体"/>
          <w:color w:val="000000"/>
          <w:szCs w:val="21"/>
          <w:highlight w:val="none"/>
          <w:lang w:val="en-US" w:eastAsia="zh-CN"/>
        </w:rPr>
        <w:t>；非</w:t>
      </w:r>
      <w:r>
        <w:rPr>
          <w:rFonts w:hint="eastAsia" w:ascii="宋体" w:hAnsi="宋体"/>
          <w:color w:val="000000"/>
          <w:szCs w:val="21"/>
          <w:highlight w:val="none"/>
          <w:lang w:val="en-US" w:eastAsia="zh-CN"/>
        </w:rPr>
        <w:t>中选人</w:t>
      </w:r>
      <w:r>
        <w:rPr>
          <w:rFonts w:hint="default" w:ascii="宋体" w:hAnsi="宋体"/>
          <w:color w:val="000000"/>
          <w:szCs w:val="21"/>
          <w:highlight w:val="none"/>
          <w:lang w:val="en-US" w:eastAsia="zh-CN"/>
        </w:rPr>
        <w:t>原因引起的变更，其建安工程费采用以下办法结算：由</w:t>
      </w:r>
      <w:r>
        <w:rPr>
          <w:rFonts w:hint="eastAsia" w:ascii="宋体" w:hAnsi="宋体"/>
          <w:color w:val="000000"/>
          <w:szCs w:val="21"/>
          <w:highlight w:val="none"/>
          <w:lang w:val="en-US" w:eastAsia="zh-CN"/>
        </w:rPr>
        <w:t>比选人</w:t>
      </w:r>
      <w:r>
        <w:rPr>
          <w:rFonts w:hint="default" w:ascii="宋体" w:hAnsi="宋体"/>
          <w:color w:val="000000"/>
          <w:szCs w:val="21"/>
          <w:highlight w:val="none"/>
          <w:lang w:val="en-US" w:eastAsia="zh-CN"/>
        </w:rPr>
        <w:t>委托第三方咨询机构审定的工程量清单中有相同清单的，执行该清单价格；有类似清单的，按类似清单进行结算；即无相同清单也无类似清单的，按合同及</w:t>
      </w:r>
      <w:r>
        <w:rPr>
          <w:rFonts w:hint="eastAsia" w:ascii="宋体" w:hAnsi="宋体"/>
          <w:color w:val="000000"/>
          <w:szCs w:val="21"/>
          <w:highlight w:val="none"/>
          <w:lang w:val="en-US" w:eastAsia="zh-CN"/>
        </w:rPr>
        <w:t>比选文件</w:t>
      </w:r>
      <w:r>
        <w:rPr>
          <w:rFonts w:hint="default" w:ascii="宋体" w:hAnsi="宋体"/>
          <w:color w:val="000000"/>
          <w:szCs w:val="21"/>
          <w:highlight w:val="none"/>
          <w:lang w:val="en-US" w:eastAsia="zh-CN"/>
        </w:rPr>
        <w:t>载明的建安工程费报价、计价原则以及</w:t>
      </w:r>
      <w:r>
        <w:rPr>
          <w:rFonts w:hint="eastAsia" w:ascii="宋体" w:hAnsi="宋体"/>
          <w:color w:val="000000"/>
          <w:szCs w:val="21"/>
          <w:highlight w:val="none"/>
          <w:lang w:val="en-US" w:eastAsia="zh-CN"/>
        </w:rPr>
        <w:t>中选</w:t>
      </w:r>
      <w:r>
        <w:rPr>
          <w:rFonts w:hint="default" w:ascii="宋体" w:hAnsi="宋体"/>
          <w:color w:val="000000"/>
          <w:szCs w:val="21"/>
          <w:highlight w:val="none"/>
          <w:lang w:val="en-US" w:eastAsia="zh-CN"/>
        </w:rPr>
        <w:t>下浮比</w:t>
      </w:r>
      <w:r>
        <w:rPr>
          <w:rFonts w:hint="eastAsia" w:ascii="宋体" w:hAnsi="宋体"/>
          <w:color w:val="000000"/>
          <w:szCs w:val="21"/>
          <w:highlight w:val="none"/>
          <w:lang w:val="en-US" w:eastAsia="zh-CN"/>
        </w:rPr>
        <w:t>例（中标下浮比例=1-建筑安装工程费固定费率）和范</w:t>
      </w:r>
      <w:r>
        <w:rPr>
          <w:rFonts w:hint="eastAsia" w:ascii="宋体" w:hAnsi="宋体" w:eastAsia="宋体" w:cs="宋体"/>
          <w:color w:val="000000"/>
          <w:kern w:val="0"/>
          <w:sz w:val="21"/>
          <w:szCs w:val="21"/>
          <w:highlight w:val="none"/>
          <w:lang w:val="en-US" w:eastAsia="zh-CN" w:bidi="ar"/>
        </w:rPr>
        <w:t xml:space="preserve">围进行结算。 </w:t>
      </w:r>
    </w:p>
    <w:p w14:paraId="5639D7F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8）若根据前述规定计算的工程费结算金额超过结算限额的，则按</w:t>
      </w:r>
      <w:r>
        <w:rPr>
          <w:rFonts w:hint="eastAsia" w:ascii="宋体" w:hAnsi="宋体"/>
          <w:color w:val="000000"/>
          <w:szCs w:val="21"/>
          <w:highlight w:val="none"/>
          <w:lang w:val="en-US" w:eastAsia="zh-CN"/>
        </w:rPr>
        <w:t>结算</w:t>
      </w:r>
      <w:r>
        <w:rPr>
          <w:rFonts w:hint="eastAsia" w:ascii="宋体" w:hAnsi="宋体" w:eastAsia="宋体" w:cs="宋体"/>
          <w:color w:val="000000"/>
          <w:kern w:val="0"/>
          <w:sz w:val="21"/>
          <w:szCs w:val="21"/>
          <w:highlight w:val="none"/>
          <w:lang w:val="en-US" w:eastAsia="zh-CN" w:bidi="ar"/>
        </w:rPr>
        <w:t>限额进行结算；若未超过，则按前述规定据实结算。</w:t>
      </w:r>
    </w:p>
    <w:p w14:paraId="020091C3">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4A387E9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p>
    <w:p w14:paraId="1904302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（三）其他费用结算原则：按合同相关约定执行 。 </w:t>
      </w:r>
    </w:p>
    <w:p w14:paraId="6D1E5241">
      <w:pPr>
        <w:widowControl/>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3.1.</w:t>
      </w:r>
      <w:r>
        <w:rPr>
          <w:rFonts w:hint="eastAsia" w:ascii="宋体" w:hAnsi="宋体"/>
          <w:color w:val="000000"/>
          <w:szCs w:val="21"/>
          <w:highlight w:val="none"/>
          <w:lang w:val="en-US" w:eastAsia="zh-CN"/>
        </w:rPr>
        <w:t>7</w:t>
      </w:r>
      <w:r>
        <w:rPr>
          <w:rFonts w:hint="eastAsia" w:ascii="宋体" w:hAnsi="宋体"/>
          <w:color w:val="000000"/>
          <w:szCs w:val="21"/>
          <w:highlight w:val="none"/>
        </w:rPr>
        <w:t>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章格式和要求进行价格填报。</w:t>
      </w:r>
    </w:p>
    <w:p w14:paraId="41908705">
      <w:pPr>
        <w:widowControl/>
        <w:spacing w:line="360" w:lineRule="auto"/>
        <w:ind w:firstLine="422" w:firstLineChars="200"/>
        <w:outlineLvl w:val="2"/>
        <w:rPr>
          <w:rFonts w:ascii="宋体" w:hAnsi="宋体"/>
          <w:b/>
          <w:bCs/>
          <w:color w:val="000000"/>
          <w:szCs w:val="21"/>
          <w:highlight w:val="none"/>
        </w:rPr>
      </w:pPr>
      <w:r>
        <w:rPr>
          <w:rFonts w:hint="eastAsia" w:ascii="宋体" w:hAnsi="宋体"/>
          <w:b/>
          <w:bCs/>
          <w:color w:val="000000"/>
          <w:szCs w:val="21"/>
          <w:highlight w:val="none"/>
        </w:rPr>
        <w:t>3.2</w:t>
      </w:r>
      <w:r>
        <w:rPr>
          <w:rFonts w:hint="eastAsia" w:ascii="宋体" w:hAnsi="宋体"/>
          <w:b/>
          <w:bCs/>
          <w:color w:val="000000"/>
          <w:szCs w:val="21"/>
          <w:highlight w:val="none"/>
          <w:lang w:val="en-US" w:eastAsia="zh-CN"/>
        </w:rPr>
        <w:t>参选技术</w:t>
      </w:r>
      <w:r>
        <w:rPr>
          <w:rFonts w:hint="eastAsia" w:ascii="宋体" w:hAnsi="宋体"/>
          <w:b/>
          <w:bCs/>
          <w:color w:val="000000"/>
          <w:szCs w:val="21"/>
          <w:highlight w:val="none"/>
        </w:rPr>
        <w:t>方案编制要求</w:t>
      </w:r>
    </w:p>
    <w:p w14:paraId="6BD8A510">
      <w:pPr>
        <w:widowControl/>
        <w:spacing w:line="360" w:lineRule="auto"/>
        <w:ind w:firstLine="420" w:firstLineChars="200"/>
        <w:rPr>
          <w:rFonts w:hint="eastAsia" w:ascii="宋体" w:hAnsi="宋体"/>
          <w:snapToGrid w:val="0"/>
          <w:kern w:val="0"/>
          <w:szCs w:val="21"/>
          <w:highlight w:val="yellow"/>
          <w:u w:val="single"/>
          <w:lang w:val="en-US" w:eastAsia="zh-CN"/>
        </w:rPr>
      </w:pPr>
      <w:r>
        <w:rPr>
          <w:rFonts w:hint="eastAsia" w:ascii="宋体" w:hAnsi="宋体"/>
          <w:color w:val="000000"/>
          <w:szCs w:val="21"/>
          <w:highlight w:val="none"/>
        </w:rPr>
        <w:t>本次比选的参选人按照下列要求编制参选技术方案：</w:t>
      </w:r>
      <w:r>
        <w:rPr>
          <w:rFonts w:hint="eastAsia" w:ascii="宋体" w:hAnsi="宋体"/>
          <w:color w:val="000000"/>
          <w:szCs w:val="21"/>
          <w:highlight w:val="none"/>
          <w:u w:val="single"/>
        </w:rPr>
        <w:t>该项目参选人须</w:t>
      </w:r>
      <w:r>
        <w:rPr>
          <w:rFonts w:hint="eastAsia" w:ascii="宋体" w:hAnsi="宋体"/>
          <w:snapToGrid w:val="0"/>
          <w:color w:val="000000"/>
          <w:kern w:val="0"/>
          <w:szCs w:val="21"/>
          <w:highlight w:val="none"/>
          <w:u w:val="single"/>
        </w:rPr>
        <w:t>对项目现状进行</w:t>
      </w:r>
      <w:r>
        <w:rPr>
          <w:rFonts w:hint="eastAsia" w:ascii="宋体" w:hAnsi="宋体"/>
          <w:snapToGrid w:val="0"/>
          <w:color w:val="000000"/>
          <w:kern w:val="0"/>
          <w:szCs w:val="21"/>
          <w:highlight w:val="none"/>
          <w:u w:val="single"/>
          <w:lang w:val="en-US" w:eastAsia="zh-CN"/>
        </w:rPr>
        <w:t>初步</w:t>
      </w:r>
      <w:r>
        <w:rPr>
          <w:rFonts w:hint="eastAsia" w:ascii="宋体" w:hAnsi="宋体"/>
          <w:snapToGrid w:val="0"/>
          <w:color w:val="000000"/>
          <w:kern w:val="0"/>
          <w:szCs w:val="21"/>
          <w:highlight w:val="none"/>
          <w:u w:val="single"/>
        </w:rPr>
        <w:t>勘测、调查、评估</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lang w:val="en-US" w:eastAsia="zh-CN"/>
        </w:rPr>
        <w:t>参选人自行组织踏勘调研</w:t>
      </w:r>
      <w:r>
        <w:rPr>
          <w:rFonts w:hint="eastAsia" w:ascii="宋体" w:hAnsi="宋体"/>
          <w:snapToGrid w:val="0"/>
          <w:color w:val="000000"/>
          <w:kern w:val="0"/>
          <w:szCs w:val="21"/>
          <w:highlight w:val="none"/>
          <w:u w:val="single"/>
          <w:lang w:eastAsia="zh-CN"/>
        </w:rPr>
        <w:t>）</w:t>
      </w:r>
      <w:r>
        <w:rPr>
          <w:rFonts w:hint="eastAsia" w:ascii="宋体" w:hAnsi="宋体"/>
          <w:snapToGrid w:val="0"/>
          <w:color w:val="000000"/>
          <w:kern w:val="0"/>
          <w:szCs w:val="21"/>
          <w:highlight w:val="none"/>
          <w:u w:val="single"/>
        </w:rPr>
        <w:t>，</w:t>
      </w:r>
      <w:r>
        <w:rPr>
          <w:rFonts w:hint="eastAsia" w:ascii="宋体" w:hAnsi="宋体"/>
          <w:snapToGrid w:val="0"/>
          <w:color w:val="000000"/>
          <w:kern w:val="0"/>
          <w:szCs w:val="21"/>
          <w:highlight w:val="none"/>
          <w:u w:val="single"/>
          <w:lang w:val="en-US" w:eastAsia="zh-CN"/>
        </w:rPr>
        <w:t>对本次参选项目所涉及内容有基础了解，综合项目现状编制参选技术方案，内容包括但不限于：一是在设计内容方面参选人需要对以下内容，即：</w:t>
      </w:r>
      <w:r>
        <w:rPr>
          <w:rFonts w:hint="eastAsia" w:ascii="宋体" w:hAnsi="宋体"/>
          <w:snapToGrid w:val="0"/>
          <w:kern w:val="0"/>
          <w:szCs w:val="21"/>
          <w:highlight w:val="none"/>
          <w:u w:val="single"/>
          <w:lang w:val="en-US" w:eastAsia="zh-CN"/>
        </w:rPr>
        <w:t>现有接待中心1号楼改造区域天、地、墙进行装饰优化改造；整体区域进行功能布局调整；固定家具订制、软装升级；强弱电系统的改造升级；室外露台景观改造升级等方面提出设计工作思路（包括但不限于品质提升思路等）、技术服务工作大纲。二是在工程施作方面需要提供施工方案。格式自拟。</w:t>
      </w:r>
    </w:p>
    <w:p w14:paraId="289BD98B">
      <w:pPr>
        <w:keepNext w:val="0"/>
        <w:keepLines w:val="0"/>
        <w:pageBreakBefore w:val="0"/>
        <w:widowControl/>
        <w:kinsoku/>
        <w:wordWrap/>
        <w:overflowPunct/>
        <w:topLinePunct w:val="0"/>
        <w:bidi w:val="0"/>
        <w:spacing w:line="400" w:lineRule="exact"/>
        <w:ind w:firstLine="422" w:firstLineChars="200"/>
        <w:textAlignment w:val="auto"/>
        <w:outlineLvl w:val="2"/>
        <w:rPr>
          <w:rFonts w:ascii="宋体" w:hAnsi="宋体"/>
          <w:b/>
          <w:bCs/>
          <w:color w:val="000000"/>
          <w:szCs w:val="21"/>
          <w:highlight w:val="none"/>
        </w:rPr>
      </w:pPr>
      <w:r>
        <w:rPr>
          <w:rFonts w:hint="eastAsia" w:ascii="宋体" w:hAnsi="宋体"/>
          <w:b/>
          <w:bCs/>
          <w:color w:val="000000"/>
          <w:szCs w:val="21"/>
          <w:highlight w:val="none"/>
        </w:rPr>
        <w:t>3.3资格审查部分编制要求</w:t>
      </w:r>
    </w:p>
    <w:p w14:paraId="31ABCEED">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具体详见第二章、第</w:t>
      </w:r>
      <w:r>
        <w:rPr>
          <w:rFonts w:hint="eastAsia" w:ascii="宋体" w:hAnsi="宋体"/>
          <w:color w:val="000000"/>
          <w:szCs w:val="21"/>
          <w:highlight w:val="none"/>
          <w:lang w:val="en-US" w:eastAsia="zh-CN"/>
        </w:rPr>
        <w:t>五</w:t>
      </w:r>
      <w:r>
        <w:rPr>
          <w:rFonts w:hint="eastAsia" w:ascii="宋体" w:hAnsi="宋体"/>
          <w:color w:val="000000"/>
          <w:szCs w:val="21"/>
          <w:highlight w:val="none"/>
        </w:rPr>
        <w:t>章。</w:t>
      </w:r>
    </w:p>
    <w:p w14:paraId="019B1FF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b/>
          <w:bCs/>
          <w:color w:val="000000"/>
          <w:szCs w:val="21"/>
          <w:highlight w:val="none"/>
        </w:rPr>
      </w:pPr>
      <w:r>
        <w:rPr>
          <w:rFonts w:hint="eastAsia" w:ascii="宋体" w:hAnsi="宋体"/>
          <w:b/>
          <w:bCs/>
          <w:color w:val="000000"/>
          <w:szCs w:val="21"/>
          <w:highlight w:val="none"/>
        </w:rPr>
        <w:t>3.4装订、密封要求</w:t>
      </w:r>
    </w:p>
    <w:p w14:paraId="44333DB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3.4.1.参选文件的数量</w:t>
      </w:r>
    </w:p>
    <w:p w14:paraId="380390C2">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（1）技术方案纸质文本一式1份；</w:t>
      </w:r>
    </w:p>
    <w:p w14:paraId="60C55D07">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（2）资格审查文件一式1份；</w:t>
      </w:r>
    </w:p>
    <w:p w14:paraId="3784008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（3）报价文件一式1份；</w:t>
      </w:r>
    </w:p>
    <w:p w14:paraId="62B98873">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（4）电子文件（优盘）；</w:t>
      </w:r>
    </w:p>
    <w:p w14:paraId="3EACC98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其中包含发包人要求的成果要求文件所有内容的优盘1个，PPT文档必须和纸质文本内容完全一致。</w:t>
      </w:r>
    </w:p>
    <w:p w14:paraId="76BA2011">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3.4.2参选文件装订要求</w:t>
      </w:r>
    </w:p>
    <w:p w14:paraId="16279472">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color w:val="000000"/>
          <w:szCs w:val="21"/>
          <w:highlight w:val="none"/>
        </w:rPr>
      </w:pPr>
      <w:r>
        <w:rPr>
          <w:rFonts w:hint="eastAsia" w:ascii="宋体" w:hAnsi="宋体"/>
          <w:color w:val="000000"/>
          <w:szCs w:val="21"/>
          <w:highlight w:val="none"/>
        </w:rPr>
        <w:t>3.4.2.1 报价文件装订要求按照第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 xml:space="preserve">章规定的格式装订成册 </w:t>
      </w:r>
    </w:p>
    <w:p w14:paraId="56C591F7">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ascii="宋体" w:hAnsi="宋体"/>
          <w:color w:val="000000"/>
          <w:szCs w:val="21"/>
          <w:highlight w:val="none"/>
        </w:rPr>
      </w:pPr>
      <w:r>
        <w:rPr>
          <w:rFonts w:hint="eastAsia" w:ascii="宋体" w:hAnsi="宋体"/>
          <w:color w:val="000000"/>
          <w:szCs w:val="21"/>
          <w:highlight w:val="none"/>
        </w:rPr>
        <w:t>3.4.2.2 资格审查文件装订要求按照第</w:t>
      </w:r>
      <w:r>
        <w:rPr>
          <w:rFonts w:hint="eastAsia" w:ascii="宋体" w:hAnsi="宋体"/>
          <w:color w:val="000000"/>
          <w:szCs w:val="21"/>
          <w:highlight w:val="none"/>
          <w:lang w:val="en-US" w:eastAsia="zh-CN"/>
        </w:rPr>
        <w:t>五</w:t>
      </w:r>
      <w:r>
        <w:rPr>
          <w:rFonts w:hint="eastAsia" w:ascii="宋体" w:hAnsi="宋体"/>
          <w:color w:val="000000"/>
          <w:szCs w:val="21"/>
          <w:highlight w:val="none"/>
        </w:rPr>
        <w:t>章规定格式装订成册，并编制目录。</w:t>
      </w:r>
    </w:p>
    <w:p w14:paraId="2E7D7C99">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u w:val="single"/>
        </w:rPr>
      </w:pPr>
      <w:r>
        <w:rPr>
          <w:rFonts w:hint="eastAsia" w:ascii="宋体" w:hAnsi="宋体"/>
          <w:color w:val="000000"/>
          <w:szCs w:val="21"/>
          <w:highlight w:val="none"/>
        </w:rPr>
        <w:t>3.4.2.3技术方案装订要求</w:t>
      </w:r>
      <w:r>
        <w:rPr>
          <w:rFonts w:hint="eastAsia" w:ascii="宋体" w:hAnsi="宋体"/>
          <w:color w:val="000000"/>
          <w:szCs w:val="21"/>
          <w:highlight w:val="none"/>
          <w:lang w:eastAsia="zh-CN"/>
        </w:rPr>
        <w:t>：</w:t>
      </w:r>
      <w:r>
        <w:rPr>
          <w:rFonts w:hint="eastAsia" w:ascii="宋体" w:hAnsi="宋体"/>
          <w:color w:val="000000"/>
          <w:szCs w:val="21"/>
          <w:highlight w:val="none"/>
          <w:u w:val="single"/>
        </w:rPr>
        <w:t>技术部分采用暗标评审，《技术方案》封面使用</w:t>
      </w:r>
      <w:r>
        <w:rPr>
          <w:rFonts w:ascii="宋体" w:hAnsi="宋体"/>
          <w:color w:val="000000"/>
          <w:szCs w:val="21"/>
          <w:highlight w:val="none"/>
          <w:u w:val="single"/>
        </w:rPr>
        <w:t>A4厚型白纸，用初号仿宋字体居中标明“技术方案”；在</w:t>
      </w:r>
      <w:r>
        <w:rPr>
          <w:rFonts w:hint="eastAsia" w:ascii="宋体" w:hAnsi="宋体"/>
          <w:color w:val="000000"/>
          <w:szCs w:val="21"/>
          <w:highlight w:val="none"/>
          <w:u w:val="single"/>
        </w:rPr>
        <w:t>封面右下角加盖参选单位章后沿密封线折叠成腰约</w:t>
      </w:r>
      <w:r>
        <w:rPr>
          <w:rFonts w:ascii="宋体" w:hAnsi="宋体"/>
          <w:color w:val="000000"/>
          <w:szCs w:val="21"/>
          <w:highlight w:val="none"/>
          <w:u w:val="single"/>
        </w:rPr>
        <w:t>10cm左右的等腰直角三角形密封；</w:t>
      </w:r>
      <w:r>
        <w:rPr>
          <w:rFonts w:hint="eastAsia" w:ascii="宋体" w:hAnsi="宋体"/>
          <w:color w:val="000000"/>
          <w:szCs w:val="21"/>
          <w:highlight w:val="none"/>
          <w:u w:val="single"/>
        </w:rPr>
        <w:t>封面除了“技术方案”四字和右下角密封处印章外不得有其他印记；密封后的封面及整个《技术方案》均不得出现白页、残页和倒页，不得显示与参选人企业有关的任何信息及与本工程无关内容（封面由参选人按比选文件中提供的电子文档格式用</w:t>
      </w:r>
      <w:r>
        <w:rPr>
          <w:rFonts w:ascii="宋体" w:hAnsi="宋体"/>
          <w:color w:val="000000"/>
          <w:szCs w:val="21"/>
          <w:highlight w:val="none"/>
          <w:u w:val="single"/>
        </w:rPr>
        <w:t>A4厚型白纸打印，加盖单位公章后其</w:t>
      </w:r>
      <w:r>
        <w:rPr>
          <w:rFonts w:hint="eastAsia" w:ascii="宋体" w:hAnsi="宋体"/>
          <w:color w:val="000000"/>
          <w:szCs w:val="21"/>
          <w:highlight w:val="none"/>
          <w:u w:val="single"/>
        </w:rPr>
        <w:t>封面的反面以不得显示出单位公章单位名称为准）；《技术方案》文字部分纸张采用</w:t>
      </w:r>
      <w:r>
        <w:rPr>
          <w:rFonts w:ascii="宋体" w:hAnsi="宋体"/>
          <w:color w:val="000000"/>
          <w:szCs w:val="21"/>
          <w:highlight w:val="none"/>
          <w:u w:val="single"/>
        </w:rPr>
        <w:t>A4白纸，四号仿宋字体；图表采用A4或A3白纸，图表内的字体、字号大小不限；文字、图表不得使用彩色和不得编制页码</w:t>
      </w:r>
      <w:r>
        <w:rPr>
          <w:rFonts w:hint="eastAsia" w:ascii="宋体" w:hAnsi="宋体"/>
          <w:color w:val="000000"/>
          <w:szCs w:val="21"/>
          <w:highlight w:val="none"/>
          <w:u w:val="single"/>
        </w:rPr>
        <w:t>（意向图及效果图可使用彩色）。违反上述任何一项，其参选文件《技术方案》部分为零分。</w:t>
      </w:r>
    </w:p>
    <w:p w14:paraId="370690C2">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3.4.3密封要求</w:t>
      </w:r>
    </w:p>
    <w:p w14:paraId="12376281">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（1）技术部分采用暗标评审，技术方案文本单独装订成册并密封，封面按照第六章格式要求编制。</w:t>
      </w:r>
    </w:p>
    <w:p w14:paraId="03594F76">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（2）资格审查文件装订成册并密封（在封袋上注明单位名称和封装内容，加盖公章）。</w:t>
      </w:r>
    </w:p>
    <w:p w14:paraId="3FF67781">
      <w:pPr>
        <w:keepNext w:val="0"/>
        <w:keepLines w:val="0"/>
        <w:pageBreakBefore w:val="0"/>
        <w:widowControl/>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（3）电子文件优盘与设计方案文本一并封装。</w:t>
      </w:r>
    </w:p>
    <w:p w14:paraId="189EA8B0">
      <w:pPr>
        <w:keepNext w:val="0"/>
        <w:keepLines w:val="0"/>
        <w:pageBreakBefore w:val="0"/>
        <w:widowControl/>
        <w:kinsoku/>
        <w:wordWrap/>
        <w:overflowPunct/>
        <w:topLinePunct w:val="0"/>
        <w:bidi w:val="0"/>
        <w:spacing w:line="400" w:lineRule="exact"/>
        <w:ind w:firstLine="420" w:firstLineChars="200"/>
        <w:textAlignment w:val="auto"/>
        <w:rPr>
          <w:szCs w:val="21"/>
          <w:highlight w:val="none"/>
        </w:rPr>
      </w:pPr>
      <w:r>
        <w:rPr>
          <w:rFonts w:hint="eastAsia" w:ascii="宋体" w:hAnsi="宋体"/>
          <w:color w:val="000000"/>
          <w:szCs w:val="21"/>
          <w:highlight w:val="none"/>
        </w:rPr>
        <w:t>（4）报价文件装订成册并密封（在封袋上注明单位名称和封装内容，加盖公章）。</w:t>
      </w:r>
    </w:p>
    <w:p w14:paraId="40AC1752">
      <w:pPr>
        <w:keepNext w:val="0"/>
        <w:keepLines w:val="0"/>
        <w:pageBreakBefore w:val="0"/>
        <w:widowControl/>
        <w:kinsoku/>
        <w:wordWrap/>
        <w:overflowPunct/>
        <w:topLinePunct w:val="0"/>
        <w:bidi w:val="0"/>
        <w:spacing w:line="400" w:lineRule="exact"/>
        <w:ind w:firstLine="420" w:firstLineChars="200"/>
        <w:textAlignment w:val="auto"/>
        <w:rPr>
          <w:highlight w:val="none"/>
        </w:rPr>
      </w:pPr>
      <w:r>
        <w:rPr>
          <w:rFonts w:hint="eastAsia" w:ascii="宋体" w:hAnsi="宋体"/>
          <w:szCs w:val="21"/>
          <w:highlight w:val="none"/>
        </w:rPr>
        <w:t>注：所有参选文件应逐页加盖参选人公章。</w:t>
      </w:r>
    </w:p>
    <w:p w14:paraId="0A2779E6">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4.比选开标程序</w:t>
      </w:r>
    </w:p>
    <w:p w14:paraId="489FAD9F">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参选人在提交参选文件时需提交手持件核验参加比选的法定代表人或委托代理人本人身份。法定代表人参选的，核验法定代表人身份证明文件（按照本项目比选文件第六章格式及要求提供）及法定代表人本人身份证原件，以确认其身份合法有效。委托代理人参选的，核验委托代理人的法定代表人身份证明及授权委托书（按照本项目比选文件第六章格式及要求提供）、委托代理人养老保险证明材料复印件（委托代理人须是参选人公司人员，养老保险证明材料复印件须加盖公章）、委托代理人本人身份证原件，以确认其身份合法有效。若经核实法定代表人或委托代理人提供资料与实际不符的，比选人不接收其参选文件。核验合格的法定代表人或委托代理人可自行选择是否参加比选会，不参加比选会的视为默认比选结果。</w:t>
      </w:r>
    </w:p>
    <w:p w14:paraId="766618F0">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（2）宣布比选纪律。</w:t>
      </w:r>
    </w:p>
    <w:p w14:paraId="657057A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（3）公布在参选截止时间前递交参选文件的参选人名称。</w:t>
      </w:r>
    </w:p>
    <w:p w14:paraId="62BB1CA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（4）参选文件的密封检查：参选人可对自己和其它的参选文件封装情况进行检查，以确认其参选文件密封完好。</w:t>
      </w:r>
    </w:p>
    <w:p w14:paraId="3D170FE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（5）当众开启参选文件。</w:t>
      </w:r>
    </w:p>
    <w:p w14:paraId="3AEAEA15">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（6）公布各参选人报价，各参选人签字确认。</w:t>
      </w:r>
    </w:p>
    <w:p w14:paraId="3CF0A8B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（7）开标结束。</w:t>
      </w:r>
    </w:p>
    <w:p w14:paraId="76227D31">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5.特别说明</w:t>
      </w:r>
    </w:p>
    <w:p w14:paraId="2B89FFEE">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1</w:t>
      </w:r>
      <w:r>
        <w:rPr>
          <w:rFonts w:hint="eastAsia" w:ascii="宋体" w:hAnsi="宋体"/>
          <w:color w:val="000000"/>
          <w:szCs w:val="21"/>
          <w:highlight w:val="none"/>
        </w:rPr>
        <w:t>）比选人及其指定的单位</w:t>
      </w:r>
      <w:r>
        <w:rPr>
          <w:rFonts w:ascii="宋体" w:hAnsi="宋体"/>
          <w:color w:val="000000"/>
          <w:szCs w:val="21"/>
          <w:highlight w:val="none"/>
        </w:rPr>
        <w:t>享有</w:t>
      </w:r>
      <w:r>
        <w:rPr>
          <w:rFonts w:hint="eastAsia" w:ascii="宋体" w:hAnsi="宋体"/>
          <w:color w:val="000000"/>
          <w:szCs w:val="21"/>
          <w:highlight w:val="none"/>
        </w:rPr>
        <w:t>所有参选人</w:t>
      </w:r>
      <w:r>
        <w:rPr>
          <w:rFonts w:ascii="宋体" w:hAnsi="宋体"/>
          <w:color w:val="000000"/>
          <w:szCs w:val="21"/>
          <w:highlight w:val="none"/>
        </w:rPr>
        <w:t>所提交</w:t>
      </w:r>
      <w:r>
        <w:rPr>
          <w:rFonts w:hint="eastAsia" w:ascii="宋体" w:hAnsi="宋体"/>
          <w:color w:val="000000"/>
          <w:szCs w:val="21"/>
          <w:highlight w:val="none"/>
        </w:rPr>
        <w:t>服务</w:t>
      </w:r>
      <w:r>
        <w:rPr>
          <w:rFonts w:ascii="宋体" w:hAnsi="宋体"/>
          <w:color w:val="000000"/>
          <w:szCs w:val="21"/>
          <w:highlight w:val="none"/>
        </w:rPr>
        <w:t>方案成果的知识产权。</w:t>
      </w:r>
      <w:r>
        <w:rPr>
          <w:rFonts w:hint="eastAsia" w:ascii="宋体" w:hAnsi="宋体"/>
          <w:color w:val="000000"/>
          <w:szCs w:val="21"/>
          <w:highlight w:val="none"/>
        </w:rPr>
        <w:t>比选人及其指定的单位</w:t>
      </w:r>
      <w:r>
        <w:rPr>
          <w:rFonts w:ascii="宋体" w:hAnsi="宋体"/>
          <w:color w:val="000000"/>
          <w:szCs w:val="21"/>
          <w:highlight w:val="none"/>
        </w:rPr>
        <w:t>对各</w:t>
      </w:r>
      <w:r>
        <w:rPr>
          <w:rFonts w:hint="eastAsia" w:ascii="宋体" w:hAnsi="宋体"/>
          <w:color w:val="000000"/>
          <w:szCs w:val="21"/>
          <w:highlight w:val="none"/>
        </w:rPr>
        <w:t>参选人</w:t>
      </w:r>
      <w:r>
        <w:rPr>
          <w:rFonts w:ascii="宋体" w:hAnsi="宋体"/>
          <w:color w:val="000000"/>
          <w:szCs w:val="21"/>
          <w:highlight w:val="none"/>
        </w:rPr>
        <w:t>本次所提交的文件拥有使用权和处置权。</w:t>
      </w:r>
    </w:p>
    <w:p w14:paraId="5ACDD9E0">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本次</w:t>
      </w:r>
      <w:r>
        <w:rPr>
          <w:rFonts w:hint="eastAsia" w:ascii="宋体" w:hAnsi="宋体"/>
          <w:color w:val="000000"/>
          <w:szCs w:val="21"/>
          <w:highlight w:val="none"/>
        </w:rPr>
        <w:t>比选参选人提交的服务方案</w:t>
      </w:r>
      <w:r>
        <w:rPr>
          <w:rFonts w:ascii="宋体" w:hAnsi="宋体"/>
          <w:color w:val="000000"/>
          <w:szCs w:val="21"/>
          <w:highlight w:val="none"/>
        </w:rPr>
        <w:t>版权归</w:t>
      </w:r>
      <w:r>
        <w:rPr>
          <w:rFonts w:hint="eastAsia" w:ascii="宋体" w:hAnsi="宋体"/>
          <w:color w:val="000000"/>
          <w:szCs w:val="21"/>
          <w:highlight w:val="none"/>
        </w:rPr>
        <w:t>比选人及其指定的单位</w:t>
      </w:r>
      <w:r>
        <w:rPr>
          <w:rFonts w:ascii="宋体" w:hAnsi="宋体"/>
          <w:color w:val="000000"/>
          <w:szCs w:val="21"/>
          <w:highlight w:val="none"/>
        </w:rPr>
        <w:t>所有，</w:t>
      </w:r>
      <w:r>
        <w:rPr>
          <w:rFonts w:hint="eastAsia" w:ascii="宋体" w:hAnsi="宋体"/>
          <w:color w:val="000000"/>
          <w:szCs w:val="21"/>
          <w:highlight w:val="none"/>
        </w:rPr>
        <w:t>比选人及其指定的单位</w:t>
      </w:r>
      <w:r>
        <w:rPr>
          <w:rFonts w:ascii="宋体" w:hAnsi="宋体"/>
          <w:color w:val="000000"/>
          <w:szCs w:val="21"/>
          <w:highlight w:val="none"/>
        </w:rPr>
        <w:t>可进行展览、印刷、出版、使用等，所有</w:t>
      </w:r>
      <w:r>
        <w:rPr>
          <w:rFonts w:hint="eastAsia" w:ascii="宋体" w:hAnsi="宋体"/>
          <w:color w:val="000000"/>
          <w:szCs w:val="21"/>
          <w:highlight w:val="none"/>
        </w:rPr>
        <w:t>参选人</w:t>
      </w:r>
      <w:r>
        <w:rPr>
          <w:rFonts w:ascii="宋体" w:hAnsi="宋体"/>
          <w:color w:val="000000"/>
          <w:szCs w:val="21"/>
          <w:highlight w:val="none"/>
        </w:rPr>
        <w:t>提交的成果均不退还。</w:t>
      </w:r>
    </w:p>
    <w:p w14:paraId="1FFC5FDB">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（3）参选人在参选文件编制过程中使用的比选人提供的有关文件及资料不得用于本次比选工作以外。</w:t>
      </w:r>
    </w:p>
    <w:p w14:paraId="3469680E">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（4）比选人有权根据项目实际情况决定最终是否实施该项目或改变实施计划和实施内容，且有权根据情况变化取消或延迟与中选候选人签订合同，比选人不向参选人进行任何承诺。</w:t>
      </w:r>
    </w:p>
    <w:p w14:paraId="2A839912">
      <w:pPr>
        <w:rPr>
          <w:rFonts w:ascii="宋体" w:hAnsi="宋体"/>
          <w:snapToGrid w:val="0"/>
          <w:kern w:val="0"/>
          <w:highlight w:val="none"/>
        </w:rPr>
      </w:pPr>
      <w:r>
        <w:rPr>
          <w:rFonts w:hint="eastAsia" w:ascii="宋体" w:hAnsi="宋体"/>
          <w:snapToGrid w:val="0"/>
          <w:kern w:val="0"/>
          <w:highlight w:val="none"/>
        </w:rPr>
        <w:br w:type="page"/>
      </w:r>
      <w:r>
        <w:rPr>
          <w:rFonts w:hint="eastAsia" w:ascii="宋体" w:hAnsi="宋体"/>
          <w:snapToGrid w:val="0"/>
          <w:kern w:val="0"/>
          <w:highlight w:val="none"/>
        </w:rPr>
        <w:t xml:space="preserve"> </w:t>
      </w:r>
      <w:r>
        <w:rPr>
          <w:rFonts w:hint="eastAsia" w:ascii="宋体" w:hAnsi="宋体"/>
          <w:snapToGrid w:val="0"/>
          <w:kern w:val="0"/>
          <w:highlight w:val="none"/>
          <w:lang w:val="en-US" w:eastAsia="zh-CN"/>
        </w:rPr>
        <w:t xml:space="preserve">        </w:t>
      </w:r>
      <w:r>
        <w:rPr>
          <w:rFonts w:ascii="宋体" w:hAnsi="宋体"/>
          <w:b/>
          <w:snapToGrid w:val="0"/>
          <w:kern w:val="0"/>
          <w:sz w:val="44"/>
          <w:highlight w:val="none"/>
        </w:rPr>
        <w:t>第</w:t>
      </w:r>
      <w:r>
        <w:rPr>
          <w:rFonts w:hint="default" w:ascii="宋体" w:hAnsi="宋体"/>
          <w:b/>
          <w:snapToGrid w:val="0"/>
          <w:kern w:val="0"/>
          <w:sz w:val="44"/>
          <w:highlight w:val="none"/>
        </w:rPr>
        <w:t>三</w:t>
      </w:r>
      <w:r>
        <w:rPr>
          <w:rFonts w:ascii="宋体" w:hAnsi="宋体"/>
          <w:b/>
          <w:snapToGrid w:val="0"/>
          <w:kern w:val="0"/>
          <w:sz w:val="44"/>
          <w:highlight w:val="none"/>
        </w:rPr>
        <w:t xml:space="preserve">章  </w:t>
      </w:r>
      <w:r>
        <w:rPr>
          <w:rFonts w:hint="default" w:ascii="宋体" w:hAnsi="宋体"/>
          <w:b/>
          <w:snapToGrid w:val="0"/>
          <w:kern w:val="0"/>
          <w:sz w:val="44"/>
          <w:highlight w:val="none"/>
        </w:rPr>
        <w:t>评审办法（综合评估法）</w:t>
      </w:r>
    </w:p>
    <w:p w14:paraId="1A2B402C">
      <w:pPr>
        <w:spacing w:line="560" w:lineRule="exact"/>
        <w:rPr>
          <w:rFonts w:ascii="宋体" w:hAnsi="宋体"/>
          <w:b/>
          <w:bCs/>
          <w:snapToGrid w:val="0"/>
          <w:sz w:val="28"/>
          <w:szCs w:val="28"/>
          <w:highlight w:val="none"/>
        </w:rPr>
      </w:pPr>
      <w:r>
        <w:rPr>
          <w:rFonts w:hint="eastAsia" w:ascii="宋体" w:hAnsi="宋体"/>
          <w:b/>
          <w:bCs/>
          <w:snapToGrid w:val="0"/>
          <w:sz w:val="28"/>
          <w:szCs w:val="28"/>
          <w:highlight w:val="none"/>
        </w:rPr>
        <w:t>1.按照下表进行评审打分</w:t>
      </w:r>
    </w:p>
    <w:tbl>
      <w:tblPr>
        <w:tblStyle w:val="14"/>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94"/>
        <w:gridCol w:w="992"/>
        <w:gridCol w:w="1690"/>
        <w:gridCol w:w="5794"/>
      </w:tblGrid>
      <w:tr w14:paraId="2F643AC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71ACA46A">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条款号</w:t>
            </w:r>
          </w:p>
        </w:tc>
        <w:tc>
          <w:tcPr>
            <w:tcW w:w="1690" w:type="dxa"/>
            <w:noWrap w:val="0"/>
            <w:vAlign w:val="center"/>
          </w:tcPr>
          <w:p w14:paraId="2EB7DD67">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评审因素</w:t>
            </w:r>
          </w:p>
        </w:tc>
        <w:tc>
          <w:tcPr>
            <w:tcW w:w="5794" w:type="dxa"/>
            <w:noWrap w:val="0"/>
            <w:vAlign w:val="center"/>
          </w:tcPr>
          <w:p w14:paraId="715C3F30">
            <w:pPr>
              <w:keepNext w:val="0"/>
              <w:keepLines w:val="0"/>
              <w:pageBreakBefore w:val="0"/>
              <w:kinsoku/>
              <w:wordWrap/>
              <w:overflowPunct/>
              <w:topLinePunct w:val="0"/>
              <w:bidi w:val="0"/>
              <w:adjustRightInd/>
              <w:snapToGrid/>
              <w:spacing w:line="400" w:lineRule="exact"/>
              <w:jc w:val="center"/>
              <w:textAlignment w:val="auto"/>
              <w:rPr>
                <w:rFonts w:ascii="宋体" w:hAnsi="宋体"/>
                <w:b/>
                <w:kern w:val="0"/>
                <w:highlight w:val="none"/>
              </w:rPr>
            </w:pPr>
            <w:r>
              <w:rPr>
                <w:rFonts w:ascii="宋体" w:hAnsi="宋体"/>
                <w:b/>
                <w:kern w:val="0"/>
                <w:highlight w:val="none"/>
              </w:rPr>
              <w:t>评审标准</w:t>
            </w:r>
          </w:p>
        </w:tc>
      </w:tr>
      <w:tr w14:paraId="7806C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281367C9">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1</w:t>
            </w:r>
          </w:p>
        </w:tc>
        <w:tc>
          <w:tcPr>
            <w:tcW w:w="1690" w:type="dxa"/>
            <w:noWrap w:val="0"/>
            <w:vAlign w:val="center"/>
          </w:tcPr>
          <w:p w14:paraId="2BF7130A">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评标办法</w:t>
            </w:r>
          </w:p>
        </w:tc>
        <w:tc>
          <w:tcPr>
            <w:tcW w:w="5794" w:type="dxa"/>
            <w:noWrap w:val="0"/>
            <w:vAlign w:val="center"/>
          </w:tcPr>
          <w:p w14:paraId="32DFA732">
            <w:pPr>
              <w:keepNext w:val="0"/>
              <w:keepLines w:val="0"/>
              <w:pageBreakBefore w:val="0"/>
              <w:kinsoku/>
              <w:wordWrap/>
              <w:overflowPunct/>
              <w:topLinePunct w:val="0"/>
              <w:bidi w:val="0"/>
              <w:adjustRightInd/>
              <w:snapToGrid/>
              <w:spacing w:line="400" w:lineRule="exact"/>
              <w:ind w:firstLine="420" w:firstLineChars="200"/>
              <w:jc w:val="left"/>
              <w:textAlignment w:val="auto"/>
              <w:rPr>
                <w:rFonts w:hint="eastAsia" w:ascii="宋体" w:hAnsi="宋体" w:eastAsia="宋体"/>
                <w:kern w:val="0"/>
                <w:highlight w:val="none"/>
                <w:lang w:val="en-US" w:eastAsia="zh-CN"/>
              </w:rPr>
            </w:pPr>
            <w:r>
              <w:rPr>
                <w:rFonts w:ascii="宋体" w:hAnsi="宋体"/>
                <w:kern w:val="0"/>
                <w:szCs w:val="21"/>
                <w:highlight w:val="none"/>
              </w:rPr>
              <w:t>本次评标采用综合评估法</w:t>
            </w:r>
            <w:r>
              <w:rPr>
                <w:rFonts w:ascii="宋体" w:hAnsi="宋体"/>
                <w:spacing w:val="-47"/>
                <w:kern w:val="0"/>
                <w:szCs w:val="21"/>
                <w:highlight w:val="none"/>
              </w:rPr>
              <w:t>。</w:t>
            </w:r>
            <w:r>
              <w:rPr>
                <w:rFonts w:hint="eastAsia" w:ascii="宋体" w:hAnsi="宋体"/>
                <w:kern w:val="0"/>
                <w:szCs w:val="21"/>
                <w:highlight w:val="none"/>
              </w:rPr>
              <w:t>公开比选委员会</w:t>
            </w:r>
            <w:r>
              <w:rPr>
                <w:rFonts w:ascii="宋体" w:hAnsi="宋体"/>
                <w:kern w:val="0"/>
                <w:szCs w:val="21"/>
                <w:highlight w:val="none"/>
              </w:rPr>
              <w:t>按照本章</w:t>
            </w:r>
            <w:r>
              <w:rPr>
                <w:rFonts w:ascii="宋体" w:hAnsi="宋体"/>
                <w:spacing w:val="-1"/>
                <w:kern w:val="0"/>
                <w:szCs w:val="21"/>
                <w:highlight w:val="none"/>
              </w:rPr>
              <w:t>规</w:t>
            </w:r>
            <w:r>
              <w:rPr>
                <w:rFonts w:ascii="宋体" w:hAnsi="宋体"/>
                <w:kern w:val="0"/>
                <w:szCs w:val="21"/>
                <w:highlight w:val="none"/>
              </w:rPr>
              <w:t>定的评分标准进行打分，按得分由高到低顺序推荐中选候选人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以参选报价低的优先；参选报价相等的，</w:t>
            </w:r>
            <w:r>
              <w:rPr>
                <w:rFonts w:hint="eastAsia" w:ascii="宋体" w:hAnsi="宋体"/>
                <w:kern w:val="0"/>
                <w:szCs w:val="21"/>
                <w:highlight w:val="none"/>
              </w:rPr>
              <w:t>以技术部分得分高的优先；技术部分得分相等的，由公开比选委员会抽签确定。</w:t>
            </w:r>
          </w:p>
        </w:tc>
      </w:tr>
      <w:tr w14:paraId="2B710C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noWrap w:val="0"/>
            <w:vAlign w:val="center"/>
          </w:tcPr>
          <w:p w14:paraId="79D40360">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992" w:type="dxa"/>
            <w:noWrap w:val="0"/>
            <w:vAlign w:val="center"/>
          </w:tcPr>
          <w:p w14:paraId="60D8407A">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资格评审标准</w:t>
            </w:r>
          </w:p>
        </w:tc>
        <w:tc>
          <w:tcPr>
            <w:tcW w:w="1690" w:type="dxa"/>
            <w:tcBorders>
              <w:bottom w:val="single" w:color="auto" w:sz="4" w:space="0"/>
            </w:tcBorders>
            <w:noWrap w:val="0"/>
            <w:vAlign w:val="center"/>
          </w:tcPr>
          <w:p w14:paraId="7B8D5870">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参选人资质条件、能力和信誉</w:t>
            </w:r>
          </w:p>
        </w:tc>
        <w:tc>
          <w:tcPr>
            <w:tcW w:w="5794" w:type="dxa"/>
            <w:noWrap w:val="0"/>
            <w:vAlign w:val="center"/>
          </w:tcPr>
          <w:p w14:paraId="27AB9A2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第二章规定。</w:t>
            </w:r>
          </w:p>
        </w:tc>
      </w:tr>
      <w:tr w14:paraId="6ECA63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restart"/>
            <w:noWrap w:val="0"/>
            <w:vAlign w:val="center"/>
          </w:tcPr>
          <w:p w14:paraId="697A27D2">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992" w:type="dxa"/>
            <w:vMerge w:val="restart"/>
            <w:noWrap w:val="0"/>
            <w:vAlign w:val="center"/>
          </w:tcPr>
          <w:p w14:paraId="46D4EB86">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形式评审标准</w:t>
            </w:r>
          </w:p>
        </w:tc>
        <w:tc>
          <w:tcPr>
            <w:tcW w:w="1690" w:type="dxa"/>
            <w:tcBorders>
              <w:top w:val="single" w:color="auto" w:sz="4" w:space="0"/>
              <w:bottom w:val="single" w:color="auto" w:sz="4" w:space="0"/>
            </w:tcBorders>
            <w:noWrap w:val="0"/>
            <w:vAlign w:val="center"/>
          </w:tcPr>
          <w:p w14:paraId="7FDA38C1">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参选人名称</w:t>
            </w:r>
          </w:p>
        </w:tc>
        <w:tc>
          <w:tcPr>
            <w:tcW w:w="5794" w:type="dxa"/>
            <w:noWrap w:val="0"/>
            <w:vAlign w:val="center"/>
          </w:tcPr>
          <w:p w14:paraId="012D9A0A">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与营业执照一致</w:t>
            </w:r>
            <w:r>
              <w:rPr>
                <w:rFonts w:hint="eastAsia" w:ascii="宋体" w:hAnsi="宋体"/>
                <w:kern w:val="0"/>
                <w:highlight w:val="none"/>
              </w:rPr>
              <w:t>，依法变更名称的应提交相应证明材料</w:t>
            </w:r>
            <w:r>
              <w:rPr>
                <w:rFonts w:ascii="宋体" w:hAnsi="宋体"/>
                <w:kern w:val="0"/>
                <w:highlight w:val="none"/>
              </w:rPr>
              <w:t>。</w:t>
            </w:r>
          </w:p>
        </w:tc>
      </w:tr>
      <w:tr w14:paraId="0BE940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6796924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29302EF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3C26CDE7">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参选函签字盖章</w:t>
            </w:r>
          </w:p>
        </w:tc>
        <w:tc>
          <w:tcPr>
            <w:tcW w:w="5794" w:type="dxa"/>
            <w:noWrap w:val="0"/>
            <w:vAlign w:val="center"/>
          </w:tcPr>
          <w:p w14:paraId="5EDBFABC">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参选函格式规定签字</w:t>
            </w:r>
            <w:r>
              <w:rPr>
                <w:rFonts w:hint="eastAsia" w:ascii="宋体" w:hAnsi="宋体"/>
                <w:kern w:val="0"/>
                <w:highlight w:val="none"/>
              </w:rPr>
              <w:t>、</w:t>
            </w:r>
            <w:r>
              <w:rPr>
                <w:rFonts w:ascii="宋体" w:hAnsi="宋体"/>
                <w:kern w:val="0"/>
                <w:highlight w:val="none"/>
              </w:rPr>
              <w:t>盖章的位置有法定代表人或其委托代理人签字（或盖章）、加盖单位公章。</w:t>
            </w:r>
          </w:p>
        </w:tc>
      </w:tr>
      <w:tr w14:paraId="619BC8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3DE2219B">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3EB2C92A">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128E3BF9">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参选文件格式</w:t>
            </w:r>
          </w:p>
        </w:tc>
        <w:tc>
          <w:tcPr>
            <w:tcW w:w="5794" w:type="dxa"/>
            <w:noWrap w:val="0"/>
            <w:vAlign w:val="center"/>
          </w:tcPr>
          <w:p w14:paraId="08D16AF5">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参选人须知</w:t>
            </w:r>
            <w:r>
              <w:rPr>
                <w:rFonts w:ascii="宋体" w:hAnsi="宋体"/>
                <w:kern w:val="0"/>
                <w:highlight w:val="none"/>
              </w:rPr>
              <w:t>”的要求。</w:t>
            </w:r>
          </w:p>
        </w:tc>
      </w:tr>
      <w:tr w14:paraId="1104EA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5371E853">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4047D497">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5603F88C">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hint="eastAsia" w:ascii="宋体" w:hAnsi="宋体"/>
                <w:kern w:val="0"/>
                <w:highlight w:val="none"/>
              </w:rPr>
              <w:t>参选文件份数</w:t>
            </w:r>
          </w:p>
        </w:tc>
        <w:tc>
          <w:tcPr>
            <w:tcW w:w="5794" w:type="dxa"/>
            <w:noWrap w:val="0"/>
            <w:vAlign w:val="center"/>
          </w:tcPr>
          <w:p w14:paraId="6125BFD1">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符合第二章“参选人须知”规定。</w:t>
            </w:r>
          </w:p>
        </w:tc>
      </w:tr>
      <w:tr w14:paraId="413D5B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2788B500">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1A5DC949">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0491378E">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报价唯一</w:t>
            </w:r>
          </w:p>
        </w:tc>
        <w:tc>
          <w:tcPr>
            <w:tcW w:w="5794" w:type="dxa"/>
            <w:noWrap w:val="0"/>
            <w:vAlign w:val="center"/>
          </w:tcPr>
          <w:p w14:paraId="4A8B23F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lang w:val="en-US" w:eastAsia="zh-CN"/>
              </w:rPr>
              <w:t>装饰工程设计费报价和样板间工程费报价均</w:t>
            </w:r>
            <w:r>
              <w:rPr>
                <w:rFonts w:ascii="宋体" w:hAnsi="宋体"/>
                <w:kern w:val="0"/>
                <w:highlight w:val="none"/>
              </w:rPr>
              <w:t>只能有一个有效报价，在比选文件没有规定的情况下，不得提交选择性报价。</w:t>
            </w:r>
          </w:p>
        </w:tc>
      </w:tr>
      <w:tr w14:paraId="6A6CDE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3048A41D">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2EE811A6">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tcBorders>
              <w:top w:val="single" w:color="auto" w:sz="4" w:space="0"/>
              <w:bottom w:val="single" w:color="auto" w:sz="4" w:space="0"/>
            </w:tcBorders>
            <w:noWrap w:val="0"/>
            <w:vAlign w:val="center"/>
          </w:tcPr>
          <w:p w14:paraId="3690BBB3">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参选文件的签署</w:t>
            </w:r>
          </w:p>
        </w:tc>
        <w:tc>
          <w:tcPr>
            <w:tcW w:w="5794" w:type="dxa"/>
            <w:noWrap w:val="0"/>
            <w:vAlign w:val="center"/>
          </w:tcPr>
          <w:p w14:paraId="51C3A8AB">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第</w:t>
            </w:r>
            <w:r>
              <w:rPr>
                <w:rFonts w:hint="eastAsia" w:ascii="宋体" w:hAnsi="宋体"/>
                <w:kern w:val="0"/>
                <w:highlight w:val="none"/>
                <w:lang w:val="en-US" w:eastAsia="zh-CN"/>
              </w:rPr>
              <w:t>五</w:t>
            </w:r>
            <w:r>
              <w:rPr>
                <w:rFonts w:hint="eastAsia" w:ascii="宋体" w:hAnsi="宋体"/>
                <w:kern w:val="0"/>
                <w:highlight w:val="none"/>
              </w:rPr>
              <w:t xml:space="preserve">章 </w:t>
            </w:r>
            <w:r>
              <w:rPr>
                <w:rFonts w:ascii="宋体" w:hAnsi="宋体"/>
                <w:kern w:val="0"/>
                <w:highlight w:val="none"/>
              </w:rPr>
              <w:t>参选文件</w:t>
            </w:r>
            <w:r>
              <w:rPr>
                <w:rFonts w:hint="eastAsia" w:ascii="宋体" w:hAnsi="宋体"/>
                <w:kern w:val="0"/>
                <w:highlight w:val="none"/>
              </w:rPr>
              <w:t>格式要求</w:t>
            </w:r>
            <w:r>
              <w:rPr>
                <w:rFonts w:ascii="宋体" w:hAnsi="宋体"/>
                <w:kern w:val="0"/>
                <w:highlight w:val="none"/>
              </w:rPr>
              <w:t>法定代表人或其委托代理人签字（或盖章）</w:t>
            </w:r>
            <w:r>
              <w:rPr>
                <w:rFonts w:hint="eastAsia" w:ascii="宋体" w:hAnsi="宋体"/>
                <w:kern w:val="0"/>
                <w:highlight w:val="none"/>
              </w:rPr>
              <w:t>的须</w:t>
            </w:r>
            <w:r>
              <w:rPr>
                <w:rFonts w:ascii="宋体" w:hAnsi="宋体"/>
                <w:kern w:val="0"/>
                <w:highlight w:val="none"/>
              </w:rPr>
              <w:t>齐全。</w:t>
            </w:r>
          </w:p>
        </w:tc>
      </w:tr>
      <w:tr w14:paraId="2E848A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994" w:type="dxa"/>
            <w:vMerge w:val="restart"/>
            <w:noWrap w:val="0"/>
            <w:vAlign w:val="center"/>
          </w:tcPr>
          <w:p w14:paraId="695A71C0">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2.1.3</w:t>
            </w:r>
          </w:p>
        </w:tc>
        <w:tc>
          <w:tcPr>
            <w:tcW w:w="992" w:type="dxa"/>
            <w:vMerge w:val="restart"/>
            <w:noWrap w:val="0"/>
            <w:vAlign w:val="center"/>
          </w:tcPr>
          <w:p w14:paraId="351E4B4C">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kern w:val="0"/>
                <w:highlight w:val="none"/>
              </w:rPr>
              <w:t>响应性评审标准</w:t>
            </w:r>
          </w:p>
        </w:tc>
        <w:tc>
          <w:tcPr>
            <w:tcW w:w="1690" w:type="dxa"/>
            <w:noWrap w:val="0"/>
            <w:vAlign w:val="center"/>
          </w:tcPr>
          <w:p w14:paraId="074BE877">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参选报价</w:t>
            </w:r>
          </w:p>
        </w:tc>
        <w:tc>
          <w:tcPr>
            <w:tcW w:w="5794" w:type="dxa"/>
            <w:noWrap w:val="0"/>
            <w:vAlign w:val="center"/>
          </w:tcPr>
          <w:p w14:paraId="594FE27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lang w:val="en-US" w:eastAsia="zh-CN"/>
              </w:rPr>
              <w:t>装饰工程设计费和样板间工程费</w:t>
            </w:r>
            <w:r>
              <w:rPr>
                <w:rFonts w:ascii="宋体" w:hAnsi="宋体"/>
                <w:kern w:val="0"/>
                <w:highlight w:val="none"/>
              </w:rPr>
              <w:t>参选报价均不得高于比选人公布的参选报价最高限价。</w:t>
            </w:r>
          </w:p>
        </w:tc>
      </w:tr>
      <w:tr w14:paraId="1A0FEB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center"/>
          </w:tcPr>
          <w:p w14:paraId="20B935E6">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992" w:type="dxa"/>
            <w:vMerge w:val="continue"/>
            <w:noWrap w:val="0"/>
            <w:textDirection w:val="tbRlV"/>
            <w:vAlign w:val="center"/>
          </w:tcPr>
          <w:p w14:paraId="26D9395D">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p>
        </w:tc>
        <w:tc>
          <w:tcPr>
            <w:tcW w:w="1690" w:type="dxa"/>
            <w:noWrap w:val="0"/>
            <w:vAlign w:val="center"/>
          </w:tcPr>
          <w:p w14:paraId="7E6C4538">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参选内容</w:t>
            </w:r>
          </w:p>
        </w:tc>
        <w:tc>
          <w:tcPr>
            <w:tcW w:w="5794" w:type="dxa"/>
            <w:noWrap w:val="0"/>
            <w:vAlign w:val="center"/>
          </w:tcPr>
          <w:p w14:paraId="0F1438BE">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ascii="宋体" w:hAnsi="宋体"/>
                <w:kern w:val="0"/>
                <w:highlight w:val="none"/>
              </w:rPr>
              <w:t>符合</w:t>
            </w:r>
            <w:r>
              <w:rPr>
                <w:rFonts w:hint="eastAsia" w:ascii="宋体" w:hAnsi="宋体"/>
                <w:kern w:val="0"/>
                <w:highlight w:val="none"/>
              </w:rPr>
              <w:t>第一章、</w:t>
            </w:r>
            <w:r>
              <w:rPr>
                <w:rFonts w:ascii="宋体" w:hAnsi="宋体"/>
                <w:kern w:val="0"/>
                <w:highlight w:val="none"/>
              </w:rPr>
              <w:t>第二章</w:t>
            </w:r>
            <w:r>
              <w:rPr>
                <w:rFonts w:hint="eastAsia" w:ascii="宋体" w:hAnsi="宋体"/>
                <w:kern w:val="0"/>
                <w:highlight w:val="none"/>
              </w:rPr>
              <w:t>相关</w:t>
            </w:r>
            <w:r>
              <w:rPr>
                <w:rFonts w:ascii="宋体" w:hAnsi="宋体"/>
                <w:kern w:val="0"/>
                <w:highlight w:val="none"/>
              </w:rPr>
              <w:t>规定</w:t>
            </w:r>
          </w:p>
        </w:tc>
      </w:tr>
      <w:tr w14:paraId="1ADE9F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3D6182BB">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651DCAA6">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1698319A">
            <w:pPr>
              <w:keepNext w:val="0"/>
              <w:keepLines w:val="0"/>
              <w:pageBreakBefore w:val="0"/>
              <w:kinsoku/>
              <w:wordWrap/>
              <w:overflowPunct/>
              <w:topLinePunct w:val="0"/>
              <w:bidi w:val="0"/>
              <w:adjustRightInd/>
              <w:snapToGrid/>
              <w:spacing w:line="400" w:lineRule="exact"/>
              <w:textAlignment w:val="auto"/>
              <w:rPr>
                <w:rFonts w:ascii="宋体" w:hAnsi="宋体"/>
                <w:kern w:val="0"/>
                <w:highlight w:val="none"/>
              </w:rPr>
            </w:pPr>
            <w:r>
              <w:rPr>
                <w:rFonts w:hint="eastAsia" w:ascii="宋体" w:hAnsi="宋体"/>
                <w:kern w:val="0"/>
                <w:highlight w:val="none"/>
              </w:rPr>
              <w:t>工期</w:t>
            </w:r>
          </w:p>
        </w:tc>
        <w:tc>
          <w:tcPr>
            <w:tcW w:w="5794" w:type="dxa"/>
            <w:noWrap w:val="0"/>
            <w:vAlign w:val="center"/>
          </w:tcPr>
          <w:p w14:paraId="4A3315DE">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kern w:val="0"/>
                <w:highlight w:val="none"/>
              </w:rPr>
            </w:pPr>
            <w:r>
              <w:rPr>
                <w:rFonts w:hint="eastAsia" w:ascii="宋体" w:hAnsi="宋体"/>
                <w:kern w:val="0"/>
                <w:highlight w:val="none"/>
              </w:rPr>
              <w:t>符合第一章、第二章相关规定</w:t>
            </w:r>
          </w:p>
        </w:tc>
      </w:tr>
      <w:tr w14:paraId="491CBB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178E486E">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992" w:type="dxa"/>
            <w:vMerge w:val="continue"/>
            <w:noWrap w:val="0"/>
            <w:vAlign w:val="top"/>
          </w:tcPr>
          <w:p w14:paraId="035249FC">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p>
        </w:tc>
        <w:tc>
          <w:tcPr>
            <w:tcW w:w="1690" w:type="dxa"/>
            <w:noWrap w:val="0"/>
            <w:vAlign w:val="center"/>
          </w:tcPr>
          <w:p w14:paraId="5DC6D103">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权利义务</w:t>
            </w:r>
          </w:p>
        </w:tc>
        <w:tc>
          <w:tcPr>
            <w:tcW w:w="5794" w:type="dxa"/>
            <w:noWrap w:val="0"/>
            <w:vAlign w:val="center"/>
          </w:tcPr>
          <w:p w14:paraId="2C413F55">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符合第四章“</w:t>
            </w:r>
            <w:r>
              <w:rPr>
                <w:rFonts w:hint="eastAsia" w:ascii="宋体" w:hAnsi="宋体"/>
                <w:kern w:val="0"/>
                <w:highlight w:val="none"/>
              </w:rPr>
              <w:t>合同主要条款</w:t>
            </w:r>
            <w:r>
              <w:rPr>
                <w:rFonts w:ascii="宋体" w:hAnsi="宋体"/>
                <w:kern w:val="0"/>
                <w:highlight w:val="none"/>
              </w:rPr>
              <w:t>”规定，参选文件不应附有比选人不能接受的条件。</w:t>
            </w:r>
          </w:p>
        </w:tc>
      </w:tr>
      <w:tr w14:paraId="62E83A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vMerge w:val="continue"/>
            <w:noWrap w:val="0"/>
            <w:vAlign w:val="top"/>
          </w:tcPr>
          <w:p w14:paraId="1A0BCB6F">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992" w:type="dxa"/>
            <w:vMerge w:val="continue"/>
            <w:noWrap w:val="0"/>
            <w:vAlign w:val="top"/>
          </w:tcPr>
          <w:p w14:paraId="7D7F0A95">
            <w:pPr>
              <w:keepNext w:val="0"/>
              <w:keepLines w:val="0"/>
              <w:pageBreakBefore w:val="0"/>
              <w:kinsoku/>
              <w:wordWrap/>
              <w:overflowPunct/>
              <w:topLinePunct w:val="0"/>
              <w:bidi w:val="0"/>
              <w:adjustRightInd/>
              <w:snapToGrid/>
              <w:spacing w:line="400" w:lineRule="exact"/>
              <w:textAlignment w:val="auto"/>
              <w:rPr>
                <w:rFonts w:ascii="宋体" w:hAnsi="宋体"/>
                <w:highlight w:val="none"/>
              </w:rPr>
            </w:pPr>
          </w:p>
        </w:tc>
        <w:tc>
          <w:tcPr>
            <w:tcW w:w="1690" w:type="dxa"/>
            <w:noWrap w:val="0"/>
            <w:vAlign w:val="center"/>
          </w:tcPr>
          <w:p w14:paraId="2256129E">
            <w:pPr>
              <w:keepNext w:val="0"/>
              <w:keepLines w:val="0"/>
              <w:pageBreakBefore w:val="0"/>
              <w:kinsoku/>
              <w:wordWrap/>
              <w:overflowPunct/>
              <w:topLinePunct w:val="0"/>
              <w:bidi w:val="0"/>
              <w:adjustRightInd/>
              <w:snapToGrid/>
              <w:spacing w:line="400" w:lineRule="exact"/>
              <w:jc w:val="left"/>
              <w:textAlignment w:val="auto"/>
              <w:rPr>
                <w:rFonts w:ascii="宋体" w:hAnsi="宋体"/>
                <w:kern w:val="0"/>
                <w:highlight w:val="none"/>
              </w:rPr>
            </w:pPr>
            <w:r>
              <w:rPr>
                <w:rFonts w:ascii="宋体" w:hAnsi="宋体"/>
                <w:kern w:val="0"/>
                <w:highlight w:val="none"/>
              </w:rPr>
              <w:t>实质性要求</w:t>
            </w:r>
          </w:p>
        </w:tc>
        <w:tc>
          <w:tcPr>
            <w:tcW w:w="5794" w:type="dxa"/>
            <w:noWrap w:val="0"/>
            <w:vAlign w:val="center"/>
          </w:tcPr>
          <w:p w14:paraId="694EC530">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符合第二章“参选人须知”。</w:t>
            </w:r>
          </w:p>
          <w:p w14:paraId="0E6C4A2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kern w:val="0"/>
                <w:highlight w:val="none"/>
              </w:rPr>
              <w:t>本次参选不得有串通参选</w:t>
            </w:r>
            <w:r>
              <w:rPr>
                <w:rFonts w:ascii="宋体" w:hAnsi="宋体"/>
                <w:kern w:val="0"/>
                <w:highlight w:val="none"/>
              </w:rPr>
              <w:t>、弄虚作假等其他违反招参选相关法律、法规行为。</w:t>
            </w:r>
          </w:p>
          <w:p w14:paraId="178201A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cs="宋体"/>
                <w:kern w:val="0"/>
                <w:highlight w:val="none"/>
              </w:rPr>
              <w:t>按公开比选委员会要求澄清、说明或补正。</w:t>
            </w:r>
          </w:p>
        </w:tc>
      </w:tr>
      <w:tr w14:paraId="4A2694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4" w:hRule="atLeast"/>
          <w:jc w:val="center"/>
        </w:trPr>
        <w:tc>
          <w:tcPr>
            <w:tcW w:w="1986" w:type="dxa"/>
            <w:gridSpan w:val="2"/>
            <w:noWrap w:val="0"/>
            <w:vAlign w:val="center"/>
          </w:tcPr>
          <w:p w14:paraId="64EB7B43">
            <w:pPr>
              <w:keepNext w:val="0"/>
              <w:keepLines w:val="0"/>
              <w:pageBreakBefore w:val="0"/>
              <w:kinsoku/>
              <w:wordWrap/>
              <w:overflowPunct/>
              <w:topLinePunct w:val="0"/>
              <w:bidi w:val="0"/>
              <w:adjustRightInd/>
              <w:snapToGrid/>
              <w:spacing w:line="400" w:lineRule="exact"/>
              <w:ind w:firstLine="210" w:firstLineChars="100"/>
              <w:jc w:val="center"/>
              <w:textAlignment w:val="auto"/>
              <w:rPr>
                <w:rFonts w:ascii="宋体" w:hAnsi="宋体"/>
                <w:kern w:val="0"/>
                <w:highlight w:val="none"/>
              </w:rPr>
            </w:pPr>
            <w:r>
              <w:rPr>
                <w:rFonts w:ascii="宋体" w:hAnsi="宋体"/>
                <w:kern w:val="0"/>
                <w:highlight w:val="none"/>
              </w:rPr>
              <w:t>2.2.1</w:t>
            </w:r>
          </w:p>
        </w:tc>
        <w:tc>
          <w:tcPr>
            <w:tcW w:w="1690" w:type="dxa"/>
            <w:noWrap w:val="0"/>
            <w:vAlign w:val="center"/>
          </w:tcPr>
          <w:p w14:paraId="553F7EC9">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794" w:type="dxa"/>
            <w:noWrap w:val="0"/>
            <w:vAlign w:val="center"/>
          </w:tcPr>
          <w:p w14:paraId="4F9D7ADA">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1.</w:t>
            </w:r>
            <w:r>
              <w:rPr>
                <w:rFonts w:hint="eastAsia" w:ascii="宋体" w:hAnsi="宋体"/>
                <w:kern w:val="0"/>
                <w:highlight w:val="none"/>
              </w:rPr>
              <w:t>技术部分</w:t>
            </w:r>
            <w:r>
              <w:rPr>
                <w:rFonts w:hint="eastAsia" w:ascii="宋体" w:hAnsi="宋体"/>
                <w:kern w:val="0"/>
                <w:highlight w:val="none"/>
                <w:lang w:val="en-US" w:eastAsia="zh-CN"/>
              </w:rPr>
              <w:t>40</w:t>
            </w:r>
            <w:r>
              <w:rPr>
                <w:rFonts w:ascii="宋体" w:hAnsi="宋体"/>
                <w:kern w:val="0"/>
                <w:highlight w:val="none"/>
              </w:rPr>
              <w:t>分</w:t>
            </w:r>
            <w:r>
              <w:rPr>
                <w:rFonts w:hint="eastAsia" w:ascii="宋体" w:hAnsi="宋体"/>
                <w:kern w:val="0"/>
                <w:highlight w:val="none"/>
              </w:rPr>
              <w:t>；</w:t>
            </w:r>
          </w:p>
          <w:p w14:paraId="005D54F3">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ascii="宋体" w:hAnsi="宋体"/>
                <w:kern w:val="0"/>
                <w:highlight w:val="none"/>
              </w:rPr>
              <w:t>3.参选</w:t>
            </w:r>
            <w:r>
              <w:rPr>
                <w:rFonts w:hint="eastAsia" w:ascii="宋体" w:hAnsi="宋体"/>
                <w:kern w:val="0"/>
                <w:highlight w:val="none"/>
              </w:rPr>
              <w:t>报价</w:t>
            </w:r>
            <w:r>
              <w:rPr>
                <w:rFonts w:ascii="宋体" w:hAnsi="宋体"/>
                <w:kern w:val="0"/>
                <w:highlight w:val="none"/>
              </w:rPr>
              <w:t>60</w:t>
            </w:r>
            <w:r>
              <w:rPr>
                <w:rFonts w:hint="eastAsia" w:ascii="宋体" w:hAnsi="宋体"/>
                <w:kern w:val="0"/>
                <w:highlight w:val="none"/>
              </w:rPr>
              <w:t>分</w:t>
            </w:r>
            <w:r>
              <w:rPr>
                <w:rFonts w:hint="eastAsia" w:ascii="宋体" w:hAnsi="宋体"/>
                <w:kern w:val="0"/>
                <w:highlight w:val="none"/>
                <w:lang w:eastAsia="zh-CN"/>
              </w:rPr>
              <w:t>（</w:t>
            </w:r>
            <w:r>
              <w:rPr>
                <w:rFonts w:hint="eastAsia" w:ascii="宋体" w:hAnsi="宋体"/>
                <w:kern w:val="0"/>
                <w:highlight w:val="none"/>
                <w:lang w:val="en-US" w:eastAsia="zh-CN"/>
              </w:rPr>
              <w:t>其中装饰工程设计费报价5分；工程费报价55分</w:t>
            </w:r>
            <w:r>
              <w:rPr>
                <w:rFonts w:hint="eastAsia" w:ascii="宋体" w:hAnsi="宋体"/>
                <w:kern w:val="0"/>
                <w:highlight w:val="none"/>
                <w:lang w:eastAsia="zh-CN"/>
              </w:rPr>
              <w:t>）</w:t>
            </w:r>
            <w:r>
              <w:rPr>
                <w:rFonts w:hint="eastAsia" w:ascii="宋体" w:hAnsi="宋体"/>
                <w:kern w:val="0"/>
                <w:highlight w:val="none"/>
              </w:rPr>
              <w:t>。</w:t>
            </w:r>
          </w:p>
        </w:tc>
      </w:tr>
      <w:tr w14:paraId="32D794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994" w:type="dxa"/>
            <w:tcBorders>
              <w:right w:val="single" w:color="auto" w:sz="4" w:space="0"/>
            </w:tcBorders>
            <w:noWrap w:val="0"/>
            <w:vAlign w:val="center"/>
          </w:tcPr>
          <w:p w14:paraId="5DE603BC">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2.2.2（1）</w:t>
            </w:r>
          </w:p>
        </w:tc>
        <w:tc>
          <w:tcPr>
            <w:tcW w:w="992" w:type="dxa"/>
            <w:tcBorders>
              <w:left w:val="single" w:color="auto" w:sz="4" w:space="0"/>
            </w:tcBorders>
            <w:noWrap w:val="0"/>
            <w:vAlign w:val="center"/>
          </w:tcPr>
          <w:p w14:paraId="7886652B">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hint="eastAsia" w:ascii="宋体" w:hAnsi="宋体"/>
                <w:kern w:val="0"/>
                <w:highlight w:val="none"/>
              </w:rPr>
              <w:t>技术部分评分标准</w:t>
            </w:r>
          </w:p>
        </w:tc>
        <w:tc>
          <w:tcPr>
            <w:tcW w:w="1690" w:type="dxa"/>
            <w:noWrap w:val="0"/>
            <w:vAlign w:val="center"/>
          </w:tcPr>
          <w:p w14:paraId="2E4B22B0">
            <w:pPr>
              <w:keepNext w:val="0"/>
              <w:keepLines w:val="0"/>
              <w:pageBreakBefore w:val="0"/>
              <w:tabs>
                <w:tab w:val="left" w:pos="1875"/>
              </w:tabs>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kern w:val="0"/>
                <w:highlight w:val="none"/>
              </w:rPr>
              <w:t>技术</w:t>
            </w:r>
            <w:r>
              <w:rPr>
                <w:rFonts w:hint="eastAsia" w:ascii="宋体" w:hAnsi="宋体"/>
                <w:kern w:val="0"/>
                <w:highlight w:val="none"/>
              </w:rPr>
              <w:t>部分</w:t>
            </w:r>
            <w:r>
              <w:rPr>
                <w:rFonts w:ascii="宋体" w:hAnsi="宋体"/>
                <w:kern w:val="0"/>
                <w:highlight w:val="none"/>
              </w:rPr>
              <w:t>评审</w:t>
            </w:r>
            <w:r>
              <w:rPr>
                <w:rFonts w:hint="eastAsia" w:ascii="宋体" w:hAnsi="宋体"/>
                <w:kern w:val="0"/>
                <w:highlight w:val="none"/>
              </w:rPr>
              <w:t>标准</w:t>
            </w:r>
          </w:p>
        </w:tc>
        <w:tc>
          <w:tcPr>
            <w:tcW w:w="5794" w:type="dxa"/>
            <w:noWrap w:val="0"/>
            <w:vAlign w:val="top"/>
          </w:tcPr>
          <w:p w14:paraId="48BCB6F6">
            <w:pPr>
              <w:keepNext w:val="0"/>
              <w:keepLines w:val="0"/>
              <w:pageBreakBefore w:val="0"/>
              <w:widowControl/>
              <w:kinsoku/>
              <w:wordWrap/>
              <w:overflowPunct/>
              <w:topLinePunct w:val="0"/>
              <w:bidi w:val="0"/>
              <w:adjustRightInd/>
              <w:snapToGrid/>
              <w:spacing w:line="400" w:lineRule="exact"/>
              <w:ind w:firstLine="420" w:firstLineChars="200"/>
              <w:textAlignment w:val="auto"/>
              <w:rPr>
                <w:rFonts w:hint="eastAsia" w:ascii="宋体" w:hAnsi="宋体"/>
                <w:snapToGrid w:val="0"/>
                <w:color w:val="000000"/>
                <w:kern w:val="0"/>
                <w:szCs w:val="21"/>
                <w:highlight w:val="none"/>
                <w:u w:val="none"/>
                <w:lang w:val="en-US" w:eastAsia="zh-CN"/>
              </w:rPr>
            </w:pPr>
            <w:r>
              <w:rPr>
                <w:rFonts w:hint="eastAsia" w:ascii="宋体" w:hAnsi="宋体"/>
                <w:kern w:val="0"/>
                <w:highlight w:val="none"/>
                <w:u w:val="none"/>
              </w:rPr>
              <w:t>根据必要的现状调查、市场调查及自身对项目的理解</w:t>
            </w:r>
            <w:r>
              <w:rPr>
                <w:rFonts w:hint="eastAsia" w:ascii="宋体" w:hAnsi="宋体"/>
                <w:kern w:val="0"/>
                <w:highlight w:val="none"/>
                <w:u w:val="none"/>
                <w:lang w:eastAsia="zh-CN"/>
              </w:rPr>
              <w:t>，</w:t>
            </w:r>
            <w:r>
              <w:rPr>
                <w:rFonts w:hint="eastAsia" w:ascii="宋体" w:hAnsi="宋体"/>
                <w:snapToGrid w:val="0"/>
                <w:color w:val="000000"/>
                <w:kern w:val="0"/>
                <w:szCs w:val="21"/>
                <w:highlight w:val="none"/>
                <w:u w:val="none"/>
                <w:lang w:val="en-US" w:eastAsia="zh-CN"/>
              </w:rPr>
              <w:t>综合项目现状编制参选技术方案，内容包括但不限于：该项目参选人须对项目现状进行初步勘测、调查、评估（参选人自行组织踏勘调研），对本次参选项目所涉及内容有基础了解，综合项目现状编制参选技术方案，内容包括但不限于：一是在设计内容方面参选人需要对以下内容，即：现有接待中心1号楼改造区域天、地、墙进行装饰优化改造；整体区域进行功能布局调整；固定家具订制、软装升级；强弱电系统的改造升级；室外露台景观改造升级；美陈设计与制作等方面提出设计工作思路（包括但不限于品质提升思路等）、技术服务工作大纲。二是在工程施作方面需要提供施工方案。格式自拟。</w:t>
            </w:r>
          </w:p>
          <w:p w14:paraId="203E59EC">
            <w:pPr>
              <w:keepNext w:val="0"/>
              <w:keepLines w:val="0"/>
              <w:pageBreakBefore w:val="0"/>
              <w:widowControl/>
              <w:kinsoku/>
              <w:wordWrap/>
              <w:overflowPunct/>
              <w:topLinePunct w:val="0"/>
              <w:bidi w:val="0"/>
              <w:adjustRightInd/>
              <w:snapToGrid/>
              <w:spacing w:line="400" w:lineRule="exact"/>
              <w:ind w:firstLine="420" w:firstLineChars="200"/>
              <w:textAlignment w:val="auto"/>
              <w:rPr>
                <w:rFonts w:ascii="宋体" w:hAnsi="宋体"/>
                <w:kern w:val="0"/>
                <w:highlight w:val="none"/>
              </w:rPr>
            </w:pPr>
            <w:r>
              <w:rPr>
                <w:rFonts w:hint="eastAsia" w:ascii="宋体" w:hAnsi="宋体"/>
                <w:lang w:val="en-US" w:eastAsia="zh-CN"/>
              </w:rPr>
              <w:t>综合评价后按如下标准打分：</w:t>
            </w:r>
            <w:r>
              <w:rPr>
                <w:rFonts w:hint="eastAsia" w:ascii="宋体" w:hAnsi="宋体"/>
              </w:rPr>
              <w:t>优：</w:t>
            </w:r>
            <w:r>
              <w:rPr>
                <w:rFonts w:hint="eastAsia" w:ascii="宋体" w:hAnsi="宋体"/>
                <w:lang w:val="en-US" w:eastAsia="zh-CN"/>
              </w:rPr>
              <w:t>40-30</w:t>
            </w:r>
            <w:r>
              <w:rPr>
                <w:rFonts w:hint="eastAsia" w:ascii="宋体" w:hAnsi="宋体"/>
              </w:rPr>
              <w:t>分</w:t>
            </w:r>
            <w:r>
              <w:rPr>
                <w:rFonts w:hint="eastAsia" w:ascii="宋体" w:hAnsi="宋体"/>
                <w:lang w:eastAsia="zh-CN"/>
              </w:rPr>
              <w:t>；</w:t>
            </w:r>
            <w:r>
              <w:rPr>
                <w:rFonts w:hint="eastAsia" w:ascii="宋体" w:hAnsi="宋体"/>
              </w:rPr>
              <w:t>良：</w:t>
            </w:r>
            <w:r>
              <w:rPr>
                <w:rFonts w:hint="eastAsia" w:ascii="宋体" w:hAnsi="宋体"/>
                <w:lang w:val="en-US" w:eastAsia="zh-CN"/>
              </w:rPr>
              <w:t>30（不含）</w:t>
            </w:r>
            <w:r>
              <w:rPr>
                <w:rFonts w:hint="eastAsia" w:ascii="宋体" w:hAnsi="宋体"/>
              </w:rPr>
              <w:t>-</w:t>
            </w:r>
            <w:r>
              <w:rPr>
                <w:rFonts w:hint="eastAsia" w:ascii="宋体" w:hAnsi="宋体"/>
                <w:lang w:val="en-US" w:eastAsia="zh-CN"/>
              </w:rPr>
              <w:t>15</w:t>
            </w:r>
            <w:r>
              <w:rPr>
                <w:rFonts w:hint="eastAsia" w:ascii="宋体" w:hAnsi="宋体"/>
              </w:rPr>
              <w:t>分</w:t>
            </w:r>
            <w:r>
              <w:rPr>
                <w:rFonts w:hint="eastAsia" w:ascii="宋体" w:hAnsi="宋体"/>
                <w:lang w:eastAsia="zh-CN"/>
              </w:rPr>
              <w:t>；</w:t>
            </w:r>
            <w:r>
              <w:rPr>
                <w:rFonts w:hint="eastAsia" w:ascii="宋体" w:hAnsi="宋体"/>
              </w:rPr>
              <w:t>一般：</w:t>
            </w:r>
            <w:r>
              <w:rPr>
                <w:rFonts w:hint="eastAsia" w:ascii="宋体" w:hAnsi="宋体"/>
                <w:lang w:val="en-US" w:eastAsia="zh-CN"/>
              </w:rPr>
              <w:t>15（不含）-5</w:t>
            </w:r>
            <w:r>
              <w:rPr>
                <w:rFonts w:hint="eastAsia" w:ascii="宋体" w:hAnsi="宋体"/>
              </w:rPr>
              <w:t>分,差：</w:t>
            </w:r>
            <w:r>
              <w:rPr>
                <w:rFonts w:hint="eastAsia" w:ascii="宋体" w:hAnsi="宋体"/>
                <w:lang w:val="en-US" w:eastAsia="zh-CN"/>
              </w:rPr>
              <w:t>5分</w:t>
            </w:r>
            <w:r>
              <w:rPr>
                <w:rFonts w:hint="eastAsia" w:ascii="宋体" w:hAnsi="宋体"/>
              </w:rPr>
              <w:t>(不含)</w:t>
            </w:r>
            <w:r>
              <w:rPr>
                <w:rFonts w:hint="eastAsia" w:ascii="宋体" w:hAnsi="宋体"/>
                <w:lang w:val="en-US" w:eastAsia="zh-CN"/>
              </w:rPr>
              <w:t>-0</w:t>
            </w:r>
            <w:r>
              <w:rPr>
                <w:rFonts w:hint="eastAsia" w:ascii="宋体" w:hAnsi="宋体"/>
              </w:rPr>
              <w:t>分</w:t>
            </w:r>
            <w:r>
              <w:rPr>
                <w:rFonts w:hint="eastAsia" w:ascii="宋体" w:hAnsi="宋体"/>
                <w:lang w:eastAsia="zh-CN"/>
              </w:rPr>
              <w:t>。</w:t>
            </w:r>
          </w:p>
        </w:tc>
      </w:tr>
      <w:tr w14:paraId="5EEC5E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994" w:type="dxa"/>
            <w:noWrap w:val="0"/>
            <w:vAlign w:val="center"/>
          </w:tcPr>
          <w:p w14:paraId="6D8A0D64">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3</w:t>
            </w:r>
          </w:p>
        </w:tc>
        <w:tc>
          <w:tcPr>
            <w:tcW w:w="992" w:type="dxa"/>
            <w:noWrap w:val="0"/>
            <w:vAlign w:val="center"/>
          </w:tcPr>
          <w:p w14:paraId="238CADC8">
            <w:pPr>
              <w:keepNext w:val="0"/>
              <w:keepLines w:val="0"/>
              <w:pageBreakBefore w:val="0"/>
              <w:kinsoku/>
              <w:wordWrap/>
              <w:overflowPunct/>
              <w:topLinePunct w:val="0"/>
              <w:bidi w:val="0"/>
              <w:adjustRightInd/>
              <w:snapToGrid/>
              <w:spacing w:line="400" w:lineRule="exact"/>
              <w:jc w:val="center"/>
              <w:textAlignment w:val="auto"/>
              <w:rPr>
                <w:rFonts w:ascii="宋体" w:hAnsi="宋体"/>
                <w:kern w:val="0"/>
                <w:highlight w:val="none"/>
              </w:rPr>
            </w:pPr>
            <w:r>
              <w:rPr>
                <w:rFonts w:ascii="宋体" w:hAnsi="宋体"/>
                <w:highlight w:val="none"/>
              </w:rPr>
              <w:t>评标程序</w:t>
            </w:r>
          </w:p>
        </w:tc>
        <w:tc>
          <w:tcPr>
            <w:tcW w:w="7484" w:type="dxa"/>
            <w:gridSpan w:val="2"/>
            <w:noWrap w:val="0"/>
            <w:vAlign w:val="top"/>
          </w:tcPr>
          <w:p w14:paraId="7092118C">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1.资格不满足要求或公开比选委员会认定为无效的参选文件的不进行后续评审。</w:t>
            </w:r>
          </w:p>
          <w:p w14:paraId="5E5B8EF6">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2.按本章评标办法前附表第2.2.2项及第3.2.1目的规定对参选文件进行评审。</w:t>
            </w:r>
          </w:p>
          <w:p w14:paraId="516A67AF">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3</w:t>
            </w:r>
            <w:r>
              <w:rPr>
                <w:rFonts w:hint="eastAsia" w:ascii="宋体" w:hAnsi="宋体"/>
                <w:szCs w:val="21"/>
                <w:highlight w:val="none"/>
              </w:rPr>
              <w:t>.对初步评审合格的参选人按照本附表第3.2.1（</w:t>
            </w:r>
            <w:r>
              <w:rPr>
                <w:rFonts w:ascii="宋体" w:hAnsi="宋体"/>
                <w:szCs w:val="21"/>
                <w:highlight w:val="none"/>
              </w:rPr>
              <w:t>3</w:t>
            </w:r>
            <w:r>
              <w:rPr>
                <w:rFonts w:hint="eastAsia" w:ascii="宋体" w:hAnsi="宋体"/>
                <w:szCs w:val="21"/>
                <w:highlight w:val="none"/>
              </w:rPr>
              <w:t>）目规定的评分方法对参选报价进行评分。</w:t>
            </w:r>
          </w:p>
          <w:p w14:paraId="4111B6B2">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zCs w:val="21"/>
                <w:highlight w:val="none"/>
              </w:rPr>
            </w:pPr>
            <w:r>
              <w:rPr>
                <w:rFonts w:ascii="宋体" w:hAnsi="宋体"/>
                <w:szCs w:val="21"/>
                <w:highlight w:val="none"/>
              </w:rPr>
              <w:t>4</w:t>
            </w:r>
            <w:r>
              <w:rPr>
                <w:rFonts w:hint="eastAsia" w:ascii="宋体" w:hAnsi="宋体"/>
                <w:szCs w:val="21"/>
                <w:highlight w:val="none"/>
              </w:rPr>
              <w:t>.对技术部分、商务部分、参选报价得分进行汇总，确定得分由高至低前三名参选人为中选候选人。</w:t>
            </w:r>
          </w:p>
        </w:tc>
      </w:tr>
      <w:tr w14:paraId="77247E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4" w:type="dxa"/>
            <w:noWrap w:val="0"/>
            <w:vAlign w:val="center"/>
          </w:tcPr>
          <w:p w14:paraId="27F96624">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3.2.1</w:t>
            </w:r>
          </w:p>
          <w:p w14:paraId="2DB2B310">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992" w:type="dxa"/>
            <w:noWrap w:val="0"/>
            <w:vAlign w:val="center"/>
          </w:tcPr>
          <w:p w14:paraId="5240E9B4">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r>
              <w:rPr>
                <w:rFonts w:ascii="宋体" w:hAnsi="宋体"/>
                <w:spacing w:val="-4"/>
                <w:highlight w:val="none"/>
              </w:rPr>
              <w:t>=</w:t>
            </w:r>
            <w:r>
              <w:rPr>
                <w:rFonts w:hint="eastAsia" w:ascii="宋体" w:hAnsi="宋体"/>
                <w:spacing w:val="-4"/>
                <w:highlight w:val="none"/>
                <w:lang w:val="en-US" w:eastAsia="zh-CN"/>
              </w:rPr>
              <w:t>40</w:t>
            </w:r>
            <w:r>
              <w:rPr>
                <w:rFonts w:ascii="宋体" w:hAnsi="宋体"/>
                <w:spacing w:val="-4"/>
                <w:highlight w:val="none"/>
              </w:rPr>
              <w:t>分</w:t>
            </w:r>
            <w:r>
              <w:rPr>
                <w:rFonts w:hint="eastAsia" w:ascii="宋体" w:hAnsi="宋体"/>
                <w:spacing w:val="-4"/>
                <w:highlight w:val="none"/>
              </w:rPr>
              <w:t>）</w:t>
            </w:r>
          </w:p>
        </w:tc>
        <w:tc>
          <w:tcPr>
            <w:tcW w:w="7484" w:type="dxa"/>
            <w:gridSpan w:val="2"/>
            <w:noWrap w:val="0"/>
            <w:vAlign w:val="center"/>
          </w:tcPr>
          <w:p w14:paraId="326FEB03">
            <w:pPr>
              <w:keepNext w:val="0"/>
              <w:keepLines w:val="0"/>
              <w:pageBreakBefore w:val="0"/>
              <w:kinsoku/>
              <w:wordWrap/>
              <w:overflowPunct/>
              <w:topLinePunct w:val="0"/>
              <w:autoSpaceDE w:val="0"/>
              <w:autoSpaceDN w:val="0"/>
              <w:bidi w:val="0"/>
              <w:adjustRightInd/>
              <w:snapToGrid/>
              <w:spacing w:line="400" w:lineRule="exact"/>
              <w:ind w:firstLine="420" w:firstLineChars="200"/>
              <w:textAlignment w:val="auto"/>
              <w:rPr>
                <w:rFonts w:ascii="宋体" w:hAnsi="宋体"/>
                <w:szCs w:val="21"/>
                <w:highlight w:val="none"/>
              </w:rPr>
            </w:pPr>
            <w:r>
              <w:rPr>
                <w:rFonts w:hint="eastAsia" w:ascii="宋体" w:hAnsi="宋体"/>
                <w:szCs w:val="21"/>
                <w:highlight w:val="none"/>
              </w:rPr>
              <w:t>公开比选委员会</w:t>
            </w:r>
            <w:r>
              <w:rPr>
                <w:rFonts w:ascii="宋体" w:hAnsi="宋体"/>
                <w:szCs w:val="21"/>
                <w:highlight w:val="none"/>
              </w:rPr>
              <w:t>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2（1）</w:t>
            </w:r>
            <w:r>
              <w:rPr>
                <w:rFonts w:ascii="宋体" w:hAnsi="宋体"/>
                <w:szCs w:val="21"/>
                <w:highlight w:val="none"/>
              </w:rPr>
              <w:t>项各评审因素设定的分值评分。</w:t>
            </w:r>
          </w:p>
          <w:p w14:paraId="07E3442D">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snapToGrid w:val="0"/>
                <w:kern w:val="0"/>
                <w:szCs w:val="21"/>
                <w:highlight w:val="none"/>
              </w:rPr>
            </w:pPr>
            <w:r>
              <w:rPr>
                <w:rFonts w:hint="eastAsia" w:ascii="宋体" w:hAnsi="宋体"/>
                <w:snapToGrid w:val="0"/>
                <w:kern w:val="0"/>
                <w:szCs w:val="21"/>
                <w:highlight w:val="none"/>
              </w:rPr>
              <w:t>公开比选委员会</w:t>
            </w:r>
            <w:r>
              <w:rPr>
                <w:rFonts w:ascii="宋体" w:hAnsi="宋体"/>
                <w:snapToGrid w:val="0"/>
                <w:kern w:val="0"/>
                <w:szCs w:val="21"/>
                <w:highlight w:val="none"/>
              </w:rPr>
              <w:t>成员打分取算术平均值为该参选人技术</w:t>
            </w:r>
            <w:r>
              <w:rPr>
                <w:rFonts w:hint="eastAsia" w:ascii="宋体" w:hAnsi="宋体"/>
                <w:snapToGrid w:val="0"/>
                <w:kern w:val="0"/>
                <w:szCs w:val="21"/>
                <w:highlight w:val="none"/>
              </w:rPr>
              <w:t>部分</w:t>
            </w:r>
            <w:r>
              <w:rPr>
                <w:rFonts w:ascii="宋体" w:hAnsi="宋体"/>
                <w:snapToGrid w:val="0"/>
                <w:kern w:val="0"/>
                <w:szCs w:val="21"/>
                <w:highlight w:val="none"/>
              </w:rPr>
              <w:t>得分。</w:t>
            </w:r>
          </w:p>
          <w:p w14:paraId="7065CDD5">
            <w:pPr>
              <w:keepNext w:val="0"/>
              <w:keepLines w:val="0"/>
              <w:pageBreakBefore w:val="0"/>
              <w:kinsoku/>
              <w:wordWrap/>
              <w:overflowPunct/>
              <w:topLinePunct w:val="0"/>
              <w:bidi w:val="0"/>
              <w:adjustRightInd/>
              <w:snapToGrid/>
              <w:spacing w:line="400" w:lineRule="exact"/>
              <w:ind w:firstLine="420" w:firstLineChars="200"/>
              <w:textAlignment w:val="auto"/>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得分的最终结果取小数点后两位，第三位四舍五入。</w:t>
            </w:r>
          </w:p>
        </w:tc>
      </w:tr>
      <w:tr w14:paraId="78103E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307" w:hRule="atLeast"/>
          <w:jc w:val="center"/>
        </w:trPr>
        <w:tc>
          <w:tcPr>
            <w:tcW w:w="994" w:type="dxa"/>
            <w:noWrap w:val="0"/>
            <w:vAlign w:val="center"/>
          </w:tcPr>
          <w:p w14:paraId="58C91B9D">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3.2.1</w:t>
            </w:r>
          </w:p>
          <w:p w14:paraId="27864135">
            <w:pPr>
              <w:keepNext w:val="0"/>
              <w:keepLines w:val="0"/>
              <w:pageBreakBefore w:val="0"/>
              <w:kinsoku/>
              <w:wordWrap/>
              <w:overflowPunct/>
              <w:topLinePunct w:val="0"/>
              <w:bidi w:val="0"/>
              <w:adjustRightInd/>
              <w:snapToGrid/>
              <w:spacing w:line="400" w:lineRule="exact"/>
              <w:jc w:val="center"/>
              <w:textAlignment w:val="auto"/>
              <w:rPr>
                <w:highlight w:val="none"/>
              </w:rPr>
            </w:pPr>
            <w:r>
              <w:rPr>
                <w:rFonts w:hint="eastAsia" w:ascii="宋体" w:hAnsi="宋体"/>
                <w:highlight w:val="none"/>
              </w:rPr>
              <w:t>（3）</w:t>
            </w:r>
          </w:p>
        </w:tc>
        <w:tc>
          <w:tcPr>
            <w:tcW w:w="992" w:type="dxa"/>
            <w:noWrap w:val="0"/>
            <w:vAlign w:val="center"/>
          </w:tcPr>
          <w:p w14:paraId="7639C09D">
            <w:pPr>
              <w:keepNext w:val="0"/>
              <w:keepLines w:val="0"/>
              <w:pageBreakBefore w:val="0"/>
              <w:kinsoku/>
              <w:wordWrap/>
              <w:overflowPunct/>
              <w:topLinePunct w:val="0"/>
              <w:bidi w:val="0"/>
              <w:adjustRightInd/>
              <w:snapToGrid/>
              <w:spacing w:line="400" w:lineRule="exact"/>
              <w:jc w:val="center"/>
              <w:textAlignment w:val="auto"/>
              <w:rPr>
                <w:rFonts w:ascii="宋体" w:hAnsi="宋体"/>
                <w:highlight w:val="none"/>
              </w:rPr>
            </w:pPr>
            <w:r>
              <w:rPr>
                <w:rFonts w:hint="eastAsia" w:ascii="宋体" w:hAnsi="宋体"/>
                <w:highlight w:val="none"/>
              </w:rPr>
              <w:t>参选报价得分（C</w:t>
            </w:r>
            <w:r>
              <w:rPr>
                <w:rFonts w:ascii="宋体" w:hAnsi="宋体"/>
                <w:spacing w:val="-4"/>
                <w:highlight w:val="none"/>
              </w:rPr>
              <w:t>=60分</w:t>
            </w:r>
            <w:r>
              <w:rPr>
                <w:rFonts w:hint="eastAsia" w:ascii="宋体" w:hAnsi="宋体"/>
                <w:highlight w:val="none"/>
              </w:rPr>
              <w:t>）</w:t>
            </w:r>
          </w:p>
        </w:tc>
        <w:tc>
          <w:tcPr>
            <w:tcW w:w="7484" w:type="dxa"/>
            <w:gridSpan w:val="2"/>
            <w:noWrap w:val="0"/>
            <w:vAlign w:val="center"/>
          </w:tcPr>
          <w:p w14:paraId="26A6C80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1、所有通过初步评审（</w:t>
            </w:r>
            <w:r>
              <w:rPr>
                <w:rFonts w:hint="eastAsia" w:ascii="宋体" w:hAnsi="宋体" w:eastAsia="宋体" w:cs="宋体"/>
                <w:color w:val="auto"/>
                <w:kern w:val="0"/>
                <w:szCs w:val="21"/>
                <w:highlight w:val="none"/>
                <w:lang w:eastAsia="zh-CN"/>
              </w:rPr>
              <w:t>资格评审、形式评审和响应性评审</w:t>
            </w:r>
            <w:r>
              <w:rPr>
                <w:rFonts w:hint="eastAsia" w:ascii="宋体" w:hAnsi="宋体"/>
                <w:szCs w:val="21"/>
                <w:highlight w:val="none"/>
                <w:lang w:val="en-US" w:eastAsia="zh-CN"/>
              </w:rPr>
              <w:t>）合格的参选人的投标报价为有效报价，有效报价中装饰工程设计费报价5分，工程费报价55分。</w:t>
            </w:r>
          </w:p>
          <w:p w14:paraId="4A1220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2、装饰工程设计费最低报价为装饰工程设计费评标基准价，得满分5分，其他装饰工程设计费投标报价与评标基准价相比，每增加1%扣0.2分，扣完为止。</w:t>
            </w:r>
          </w:p>
          <w:p w14:paraId="4D56CC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装饰工程</w:t>
            </w:r>
            <w:r>
              <w:rPr>
                <w:rFonts w:hint="eastAsia" w:ascii="宋体" w:hAnsi="宋体" w:eastAsia="宋体" w:cs="宋体"/>
                <w:color w:val="auto"/>
                <w:kern w:val="0"/>
                <w:szCs w:val="21"/>
                <w:highlight w:val="none"/>
                <w:lang w:val="en-US" w:eastAsia="zh-CN"/>
              </w:rPr>
              <w:t>设计费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w:t>
            </w:r>
            <w:r>
              <w:rPr>
                <w:rFonts w:hint="eastAsia" w:ascii="宋体" w:hAnsi="宋体"/>
                <w:szCs w:val="21"/>
                <w:highlight w:val="none"/>
                <w:lang w:val="en-US" w:eastAsia="zh-CN"/>
              </w:rPr>
              <w:t>装饰工程</w:t>
            </w:r>
            <w:r>
              <w:rPr>
                <w:rFonts w:hint="eastAsia" w:ascii="宋体" w:hAnsi="宋体" w:cs="宋体"/>
                <w:color w:val="auto"/>
                <w:kern w:val="0"/>
                <w:szCs w:val="21"/>
                <w:highlight w:val="none"/>
                <w:lang w:val="en-US" w:eastAsia="zh-CN"/>
              </w:rPr>
              <w:t>设计费最低</w:t>
            </w:r>
            <w:r>
              <w:rPr>
                <w:rFonts w:hint="eastAsia" w:ascii="宋体" w:hAnsi="宋体" w:eastAsia="宋体" w:cs="宋体"/>
                <w:color w:val="auto"/>
                <w:kern w:val="0"/>
                <w:szCs w:val="21"/>
                <w:highlight w:val="none"/>
                <w:lang w:eastAsia="zh-CN"/>
              </w:rPr>
              <w:t>投标报价为</w:t>
            </w:r>
            <w:r>
              <w:rPr>
                <w:rFonts w:hint="eastAsia" w:ascii="宋体" w:hAnsi="宋体" w:cs="宋体"/>
                <w:color w:val="auto"/>
                <w:kern w:val="0"/>
                <w:szCs w:val="21"/>
                <w:highlight w:val="none"/>
                <w:lang w:val="en-US" w:eastAsia="zh-CN"/>
              </w:rPr>
              <w:t>120</w:t>
            </w:r>
            <w:r>
              <w:rPr>
                <w:rFonts w:hint="eastAsia" w:ascii="宋体" w:hAnsi="宋体" w:eastAsia="宋体" w:cs="宋体"/>
                <w:color w:val="auto"/>
                <w:kern w:val="0"/>
                <w:szCs w:val="21"/>
                <w:highlight w:val="none"/>
                <w:lang w:val="en-US" w:eastAsia="zh-CN"/>
              </w:rPr>
              <w:t>00</w:t>
            </w:r>
            <w:r>
              <w:rPr>
                <w:rFonts w:hint="eastAsia" w:ascii="宋体" w:hAnsi="宋体" w:cs="宋体"/>
                <w:color w:val="auto"/>
                <w:kern w:val="0"/>
                <w:szCs w:val="21"/>
                <w:highlight w:val="none"/>
                <w:lang w:val="en-US" w:eastAsia="zh-CN"/>
              </w:rPr>
              <w:t>元</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szCs w:val="21"/>
                <w:highlight w:val="none"/>
                <w:lang w:val="en-US" w:eastAsia="zh-CN"/>
              </w:rPr>
              <w:t>装饰工程设计费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13000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12000</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12</w:t>
            </w:r>
            <w:r>
              <w:rPr>
                <w:rFonts w:hint="eastAsia" w:ascii="宋体" w:hAnsi="宋体" w:eastAsia="宋体" w:cs="宋体"/>
                <w:color w:val="auto"/>
                <w:kern w:val="0"/>
                <w:szCs w:val="21"/>
                <w:highlight w:val="none"/>
                <w:lang w:val="en-US" w:eastAsia="zh-CN"/>
              </w:rPr>
              <w:t>000*100*0.2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3.33</w:t>
            </w:r>
            <w:r>
              <w:rPr>
                <w:rFonts w:hint="eastAsia" w:ascii="宋体" w:hAnsi="宋体" w:eastAsia="宋体" w:cs="宋体"/>
                <w:color w:val="auto"/>
                <w:kern w:val="0"/>
                <w:szCs w:val="21"/>
                <w:highlight w:val="none"/>
                <w:lang w:eastAsia="zh-CN"/>
              </w:rPr>
              <w:t>分</w:t>
            </w:r>
          </w:p>
          <w:p w14:paraId="323297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ascii="宋体" w:hAnsi="宋体"/>
                <w:szCs w:val="21"/>
                <w:highlight w:val="none"/>
                <w:lang w:val="en-US" w:eastAsia="zh-CN"/>
              </w:rPr>
              <w:t>3、工程费报价中固定费率报价最低报价为样板间工程费报价评标基准价，得满55分，其它工程费固定费率报价与评标基准价相比，每增加1%扣0.2分，扣完为止。</w:t>
            </w:r>
          </w:p>
          <w:p w14:paraId="4F0E70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Calibri" w:hAnsi="Calibri" w:eastAsia="宋体" w:cs="Calibri"/>
                <w:color w:val="auto"/>
                <w:kern w:val="0"/>
                <w:szCs w:val="21"/>
                <w:highlight w:val="none"/>
                <w:lang w:val="en-US" w:eastAsia="zh-CN"/>
              </w:rPr>
              <w:t>例如：</w:t>
            </w:r>
            <w:r>
              <w:rPr>
                <w:rFonts w:hint="eastAsia" w:ascii="宋体" w:hAnsi="宋体" w:eastAsia="宋体" w:cs="宋体"/>
                <w:color w:val="auto"/>
                <w:kern w:val="0"/>
                <w:szCs w:val="21"/>
                <w:highlight w:val="none"/>
                <w:lang w:eastAsia="zh-CN"/>
              </w:rPr>
              <w:t>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报价为</w:t>
            </w:r>
            <w:r>
              <w:rPr>
                <w:rFonts w:hint="eastAsia" w:ascii="宋体" w:hAnsi="宋体" w:cs="宋体"/>
                <w:color w:val="auto"/>
                <w:kern w:val="0"/>
                <w:szCs w:val="21"/>
                <w:highlight w:val="none"/>
                <w:lang w:val="en-US" w:eastAsia="zh-CN"/>
              </w:rPr>
              <w:t>固定费率90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，最低投标报价</w:t>
            </w:r>
            <w:r>
              <w:rPr>
                <w:rFonts w:hint="eastAsia" w:ascii="宋体" w:hAnsi="宋体" w:eastAsia="宋体" w:cs="宋体"/>
                <w:color w:val="auto"/>
                <w:kern w:val="0"/>
                <w:szCs w:val="21"/>
                <w:highlight w:val="none"/>
                <w:lang w:val="en-US" w:eastAsia="zh-CN"/>
              </w:rPr>
              <w:t>为</w:t>
            </w:r>
            <w:r>
              <w:rPr>
                <w:rFonts w:hint="eastAsia" w:ascii="宋体" w:hAnsi="宋体" w:cs="宋体"/>
                <w:color w:val="auto"/>
                <w:kern w:val="0"/>
                <w:szCs w:val="21"/>
                <w:highlight w:val="none"/>
                <w:lang w:val="en-US" w:eastAsia="zh-CN"/>
              </w:rPr>
              <w:t>固定费率85</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，则A</w:t>
            </w:r>
            <w:r>
              <w:rPr>
                <w:rFonts w:hint="eastAsia" w:ascii="宋体" w:hAnsi="宋体" w:cs="宋体"/>
                <w:color w:val="auto"/>
                <w:kern w:val="0"/>
                <w:szCs w:val="21"/>
                <w:highlight w:val="none"/>
                <w:lang w:eastAsia="zh-CN"/>
              </w:rPr>
              <w:t>参选人</w:t>
            </w:r>
            <w:r>
              <w:rPr>
                <w:rFonts w:hint="eastAsia" w:ascii="宋体" w:hAnsi="宋体" w:eastAsia="宋体" w:cs="宋体"/>
                <w:color w:val="auto"/>
                <w:kern w:val="0"/>
                <w:szCs w:val="21"/>
                <w:highlight w:val="none"/>
                <w:lang w:eastAsia="zh-CN"/>
              </w:rPr>
              <w:t>的</w:t>
            </w:r>
            <w:r>
              <w:rPr>
                <w:rFonts w:hint="eastAsia" w:ascii="宋体" w:hAnsi="宋体" w:eastAsia="宋体" w:cs="宋体"/>
                <w:color w:val="auto"/>
                <w:kern w:val="0"/>
                <w:szCs w:val="21"/>
                <w:highlight w:val="none"/>
                <w:lang w:val="en-US" w:eastAsia="zh-CN"/>
              </w:rPr>
              <w:t>工程费</w:t>
            </w:r>
            <w:r>
              <w:rPr>
                <w:rFonts w:hint="eastAsia" w:ascii="宋体" w:hAnsi="宋体" w:eastAsia="宋体" w:cs="宋体"/>
                <w:color w:val="auto"/>
                <w:kern w:val="0"/>
                <w:szCs w:val="21"/>
                <w:highlight w:val="none"/>
                <w:lang w:eastAsia="zh-CN"/>
              </w:rPr>
              <w:t>投标报价的得分为：</w:t>
            </w:r>
            <w:r>
              <w:rPr>
                <w:rFonts w:hint="eastAsia" w:ascii="宋体" w:hAnsi="宋体" w:cs="宋体"/>
                <w:color w:val="auto"/>
                <w:kern w:val="0"/>
                <w:szCs w:val="21"/>
                <w:highlight w:val="none"/>
                <w:lang w:val="en-US" w:eastAsia="zh-CN"/>
              </w:rPr>
              <w:t>55</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90</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Calibri" w:hAnsi="Calibri" w:cs="Calibri"/>
                <w:color w:val="auto"/>
                <w:kern w:val="0"/>
                <w:szCs w:val="21"/>
                <w:highlight w:val="none"/>
                <w:lang w:eastAsia="zh-CN"/>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8</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*100*0.2</w:t>
            </w:r>
            <w:r>
              <w:rPr>
                <w:rFonts w:hint="eastAsia" w:ascii="宋体" w:hAnsi="宋体" w:eastAsia="宋体" w:cs="宋体"/>
                <w:color w:val="auto"/>
                <w:kern w:val="0"/>
                <w:szCs w:val="21"/>
                <w:highlight w:val="none"/>
                <w:lang w:eastAsia="zh-CN"/>
              </w:rPr>
              <w:t>=</w:t>
            </w:r>
            <w:r>
              <w:rPr>
                <w:rFonts w:hint="eastAsia" w:ascii="宋体" w:hAnsi="宋体" w:cs="宋体"/>
                <w:color w:val="auto"/>
                <w:kern w:val="0"/>
                <w:szCs w:val="21"/>
                <w:highlight w:val="none"/>
                <w:lang w:val="en-US" w:eastAsia="zh-CN"/>
              </w:rPr>
              <w:t>53.82</w:t>
            </w:r>
            <w:r>
              <w:rPr>
                <w:rFonts w:hint="eastAsia" w:ascii="宋体" w:hAnsi="宋体" w:eastAsia="宋体" w:cs="宋体"/>
                <w:color w:val="auto"/>
                <w:kern w:val="0"/>
                <w:szCs w:val="21"/>
                <w:highlight w:val="none"/>
                <w:lang w:eastAsia="zh-CN"/>
              </w:rPr>
              <w:t>分</w:t>
            </w:r>
          </w:p>
          <w:p w14:paraId="7991CC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lang w:eastAsia="zh-CN"/>
              </w:rPr>
              <w:t>投标报价评分</w:t>
            </w:r>
            <w:r>
              <w:rPr>
                <w:rFonts w:hint="eastAsia" w:ascii="宋体" w:hAnsi="宋体" w:eastAsia="宋体" w:cs="宋体"/>
                <w:color w:val="auto"/>
                <w:kern w:val="0"/>
                <w:szCs w:val="21"/>
                <w:highlight w:val="none"/>
                <w:lang w:val="en-US" w:eastAsia="zh-CN"/>
              </w:rPr>
              <w:t>=装饰工程设计费报价得分+工程费报价得分。</w:t>
            </w:r>
          </w:p>
          <w:p w14:paraId="14FBB20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Cs w:val="21"/>
                <w:highlight w:val="none"/>
              </w:rPr>
            </w:pPr>
            <w:r>
              <w:rPr>
                <w:rFonts w:hint="eastAsia" w:ascii="宋体" w:hAnsi="宋体" w:eastAsia="宋体" w:cs="宋体"/>
                <w:color w:val="auto"/>
                <w:kern w:val="0"/>
                <w:szCs w:val="21"/>
                <w:highlight w:val="none"/>
                <w:lang w:eastAsia="zh-CN"/>
              </w:rPr>
              <w:t>结果取小数点后两位，</w:t>
            </w:r>
            <w:r>
              <w:rPr>
                <w:rFonts w:hint="eastAsia" w:ascii="宋体" w:hAnsi="宋体" w:cs="宋体"/>
                <w:color w:val="auto"/>
                <w:kern w:val="0"/>
                <w:szCs w:val="21"/>
                <w:highlight w:val="none"/>
                <w:lang w:val="en-US" w:eastAsia="zh-CN"/>
              </w:rPr>
              <w:t>根据</w:t>
            </w:r>
            <w:r>
              <w:rPr>
                <w:rFonts w:hint="eastAsia" w:ascii="宋体" w:hAnsi="宋体" w:eastAsia="宋体" w:cs="宋体"/>
                <w:color w:val="auto"/>
                <w:kern w:val="0"/>
                <w:szCs w:val="21"/>
                <w:highlight w:val="none"/>
                <w:lang w:eastAsia="zh-CN"/>
              </w:rPr>
              <w:t>第三位四舍五入。</w:t>
            </w:r>
          </w:p>
        </w:tc>
      </w:tr>
      <w:tr w14:paraId="1A9AD8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986" w:type="dxa"/>
            <w:gridSpan w:val="2"/>
            <w:noWrap w:val="0"/>
            <w:vAlign w:val="center"/>
          </w:tcPr>
          <w:p w14:paraId="756B0555">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3.2.3</w:t>
            </w:r>
          </w:p>
        </w:tc>
        <w:tc>
          <w:tcPr>
            <w:tcW w:w="1690" w:type="dxa"/>
            <w:noWrap w:val="0"/>
            <w:vAlign w:val="center"/>
          </w:tcPr>
          <w:p w14:paraId="491FF906">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ascii="宋体" w:hAnsi="宋体"/>
                <w:szCs w:val="21"/>
                <w:highlight w:val="none"/>
              </w:rPr>
              <w:t>参选人</w:t>
            </w:r>
            <w:r>
              <w:rPr>
                <w:rFonts w:hint="eastAsia" w:ascii="宋体" w:hAnsi="宋体"/>
                <w:szCs w:val="21"/>
                <w:highlight w:val="none"/>
              </w:rPr>
              <w:t>总</w:t>
            </w:r>
            <w:r>
              <w:rPr>
                <w:rFonts w:ascii="宋体" w:hAnsi="宋体"/>
                <w:szCs w:val="21"/>
                <w:highlight w:val="none"/>
              </w:rPr>
              <w:t>得分</w:t>
            </w:r>
          </w:p>
        </w:tc>
        <w:tc>
          <w:tcPr>
            <w:tcW w:w="5794" w:type="dxa"/>
            <w:noWrap w:val="0"/>
            <w:vAlign w:val="center"/>
          </w:tcPr>
          <w:p w14:paraId="6F52699F">
            <w:pPr>
              <w:keepNext w:val="0"/>
              <w:keepLines w:val="0"/>
              <w:pageBreakBefore w:val="0"/>
              <w:kinsoku/>
              <w:wordWrap/>
              <w:overflowPunct/>
              <w:topLinePunct w:val="0"/>
              <w:bidi w:val="0"/>
              <w:adjustRightInd/>
              <w:snapToGrid/>
              <w:spacing w:line="400" w:lineRule="exact"/>
              <w:jc w:val="center"/>
              <w:textAlignment w:val="auto"/>
              <w:rPr>
                <w:rFonts w:ascii="宋体" w:hAnsi="宋体"/>
                <w:szCs w:val="21"/>
                <w:highlight w:val="none"/>
                <w:u w:val="single"/>
              </w:rPr>
            </w:pPr>
            <w:r>
              <w:rPr>
                <w:rFonts w:ascii="宋体" w:hAnsi="宋体"/>
                <w:szCs w:val="21"/>
                <w:highlight w:val="none"/>
                <w:u w:val="single"/>
              </w:rPr>
              <w:t>参选人</w:t>
            </w:r>
            <w:r>
              <w:rPr>
                <w:rFonts w:hint="eastAsia" w:ascii="宋体" w:hAnsi="宋体"/>
                <w:szCs w:val="21"/>
                <w:highlight w:val="none"/>
                <w:u w:val="single"/>
              </w:rPr>
              <w:t>总</w:t>
            </w:r>
            <w:r>
              <w:rPr>
                <w:rFonts w:ascii="宋体" w:hAnsi="宋体"/>
                <w:szCs w:val="21"/>
                <w:highlight w:val="none"/>
                <w:u w:val="single"/>
              </w:rPr>
              <w:t>得分=A+B+</w:t>
            </w:r>
            <w:r>
              <w:rPr>
                <w:rFonts w:hint="eastAsia" w:ascii="宋体" w:hAnsi="宋体"/>
                <w:szCs w:val="21"/>
                <w:highlight w:val="none"/>
                <w:u w:val="single"/>
              </w:rPr>
              <w:t>C</w:t>
            </w:r>
          </w:p>
        </w:tc>
      </w:tr>
      <w:tr w14:paraId="2F6491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676" w:type="dxa"/>
            <w:gridSpan w:val="3"/>
            <w:noWrap w:val="0"/>
            <w:vAlign w:val="center"/>
          </w:tcPr>
          <w:p w14:paraId="7F19C82C">
            <w:pPr>
              <w:keepNext w:val="0"/>
              <w:keepLines w:val="0"/>
              <w:pageBreakBefore w:val="0"/>
              <w:kinsoku/>
              <w:wordWrap/>
              <w:overflowPunct/>
              <w:topLinePunct w:val="0"/>
              <w:bidi w:val="0"/>
              <w:adjustRightInd/>
              <w:snapToGrid/>
              <w:spacing w:line="400" w:lineRule="exact"/>
              <w:ind w:firstLine="18" w:firstLineChars="9"/>
              <w:jc w:val="center"/>
              <w:textAlignment w:val="auto"/>
              <w:rPr>
                <w:rFonts w:ascii="宋体" w:hAnsi="宋体"/>
                <w:szCs w:val="21"/>
                <w:highlight w:val="none"/>
              </w:rPr>
            </w:pPr>
            <w:r>
              <w:rPr>
                <w:rFonts w:hint="eastAsia" w:ascii="宋体" w:hAnsi="宋体"/>
                <w:szCs w:val="21"/>
                <w:highlight w:val="none"/>
              </w:rPr>
              <w:t>定标原则</w:t>
            </w:r>
          </w:p>
        </w:tc>
        <w:tc>
          <w:tcPr>
            <w:tcW w:w="5794" w:type="dxa"/>
            <w:noWrap w:val="0"/>
            <w:vAlign w:val="center"/>
          </w:tcPr>
          <w:p w14:paraId="4B373E2C">
            <w:pPr>
              <w:keepNext w:val="0"/>
              <w:keepLines w:val="0"/>
              <w:pageBreakBefore w:val="0"/>
              <w:kinsoku/>
              <w:wordWrap/>
              <w:overflowPunct/>
              <w:topLinePunct w:val="0"/>
              <w:bidi w:val="0"/>
              <w:adjustRightInd/>
              <w:snapToGrid/>
              <w:spacing w:line="400" w:lineRule="exact"/>
              <w:ind w:firstLine="420" w:firstLineChars="200"/>
              <w:jc w:val="left"/>
              <w:textAlignment w:val="auto"/>
              <w:rPr>
                <w:highlight w:val="none"/>
              </w:rPr>
            </w:pPr>
            <w:r>
              <w:rPr>
                <w:rFonts w:hint="eastAsia"/>
                <w:highlight w:val="none"/>
              </w:rPr>
              <w:t>1、公开比选委员会根据各参选人的综合得分从高到低依次排定比选名次。</w:t>
            </w:r>
            <w:r>
              <w:rPr>
                <w:highlight w:val="none"/>
              </w:rPr>
              <w:t>综合评分相等时，以</w:t>
            </w:r>
            <w:r>
              <w:rPr>
                <w:rFonts w:hint="eastAsia"/>
                <w:highlight w:val="none"/>
              </w:rPr>
              <w:t>技术方案得分高</w:t>
            </w:r>
            <w:r>
              <w:rPr>
                <w:highlight w:val="none"/>
              </w:rPr>
              <w:t>的优先；</w:t>
            </w:r>
            <w:r>
              <w:rPr>
                <w:rFonts w:hint="eastAsia"/>
                <w:highlight w:val="none"/>
              </w:rPr>
              <w:t>技术方案得分相等的，以</w:t>
            </w:r>
            <w:r>
              <w:rPr>
                <w:highlight w:val="none"/>
              </w:rPr>
              <w:t>参选报价</w:t>
            </w:r>
            <w:r>
              <w:rPr>
                <w:rFonts w:hint="eastAsia"/>
                <w:highlight w:val="none"/>
              </w:rPr>
              <w:t>得分高的优先；技术方案和报价均相等的，由公开比选委员会抽签确定。</w:t>
            </w:r>
          </w:p>
          <w:p w14:paraId="68138BE8">
            <w:pPr>
              <w:keepNext w:val="0"/>
              <w:keepLines w:val="0"/>
              <w:pageBreakBefore w:val="0"/>
              <w:kinsoku/>
              <w:wordWrap/>
              <w:overflowPunct/>
              <w:topLinePunct w:val="0"/>
              <w:bidi w:val="0"/>
              <w:adjustRightInd/>
              <w:snapToGrid/>
              <w:spacing w:line="400" w:lineRule="exact"/>
              <w:ind w:firstLine="420" w:firstLineChars="200"/>
              <w:jc w:val="left"/>
              <w:textAlignment w:val="auto"/>
              <w:rPr>
                <w:rFonts w:ascii="宋体" w:hAnsi="宋体"/>
                <w:szCs w:val="21"/>
                <w:highlight w:val="none"/>
                <w:u w:val="single"/>
              </w:rPr>
            </w:pPr>
            <w:r>
              <w:rPr>
                <w:rFonts w:hint="eastAsia"/>
                <w:highlight w:val="none"/>
              </w:rPr>
              <w:t>2、对本次比选排名进行公示，在经公示无异议、投诉，且无违反比选文件规定的前提下，比选人应当确定排名第一的参选人为中选候选人。中选候选人放弃中选、因不可抗力不能履行合同、或者被查实存在影响中选结果的违法行为，或者不接受比选人在合同谈判时提出的商务条件等情形，不符合中选条件的，比选人可以按照公开比选委员会排定的比选名次依次确定其他参选人为中选候选人，最终确定中选人。</w:t>
            </w:r>
          </w:p>
        </w:tc>
      </w:tr>
    </w:tbl>
    <w:p w14:paraId="1EF4210F">
      <w:pPr>
        <w:rPr>
          <w:rFonts w:hint="eastAsia" w:ascii="宋体" w:hAnsi="宋体"/>
          <w:highlight w:val="none"/>
        </w:rPr>
      </w:pPr>
      <w:r>
        <w:rPr>
          <w:rFonts w:hint="eastAsia" w:ascii="宋体" w:hAnsi="宋体"/>
          <w:highlight w:val="none"/>
        </w:rPr>
        <w:br w:type="page"/>
      </w:r>
    </w:p>
    <w:p w14:paraId="093ADBDB">
      <w:pPr>
        <w:pStyle w:val="2"/>
        <w:spacing w:before="0" w:after="0" w:line="360" w:lineRule="auto"/>
        <w:jc w:val="center"/>
        <w:rPr>
          <w:rFonts w:ascii="宋体" w:hAnsi="宋体"/>
          <w:highlight w:val="none"/>
        </w:rPr>
      </w:pPr>
      <w:r>
        <w:rPr>
          <w:rFonts w:hint="eastAsia" w:ascii="宋体" w:hAnsi="宋体"/>
          <w:highlight w:val="none"/>
        </w:rPr>
        <w:t>第四章  合同主要条款</w:t>
      </w:r>
    </w:p>
    <w:p w14:paraId="4E019E9A">
      <w:pPr>
        <w:jc w:val="center"/>
        <w:rPr>
          <w:highlight w:val="none"/>
        </w:rPr>
      </w:pPr>
      <w:r>
        <w:rPr>
          <w:rFonts w:hint="eastAsia"/>
          <w:highlight w:val="none"/>
        </w:rPr>
        <w:t>（中选的合作机构按照相同的合同条款签订合同）</w:t>
      </w:r>
    </w:p>
    <w:p w14:paraId="1228F0D3">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25DEDA9C">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rPr>
          <w:rFonts w:hint="eastAsia" w:ascii="宋体" w:hAnsi="宋体"/>
          <w:b/>
          <w:bCs/>
          <w:color w:val="000000"/>
          <w:sz w:val="28"/>
          <w:szCs w:val="28"/>
          <w:highlight w:val="none"/>
        </w:rPr>
      </w:pPr>
    </w:p>
    <w:p w14:paraId="3F3523A8">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b/>
          <w:bCs/>
          <w:color w:val="000000"/>
          <w:sz w:val="28"/>
          <w:szCs w:val="28"/>
          <w:highlight w:val="none"/>
        </w:rPr>
      </w:pPr>
      <w:r>
        <w:rPr>
          <w:rFonts w:hint="eastAsia" w:ascii="宋体" w:hAnsi="宋体"/>
          <w:b/>
          <w:bCs/>
          <w:color w:val="000000"/>
          <w:sz w:val="28"/>
          <w:szCs w:val="28"/>
          <w:highlight w:val="none"/>
        </w:rPr>
        <w:t>甲方：比选人</w:t>
      </w:r>
    </w:p>
    <w:p w14:paraId="290FF501">
      <w:pPr>
        <w:keepNext w:val="0"/>
        <w:keepLines w:val="0"/>
        <w:pageBreakBefore w:val="0"/>
        <w:kinsoku/>
        <w:wordWrap/>
        <w:overflowPunct/>
        <w:topLinePunct w:val="0"/>
        <w:autoSpaceDE/>
        <w:autoSpaceDN/>
        <w:bidi w:val="0"/>
        <w:adjustRightInd/>
        <w:snapToGrid/>
        <w:spacing w:line="400" w:lineRule="exact"/>
        <w:ind w:left="141" w:leftChars="0" w:hanging="141" w:hangingChars="50"/>
        <w:textAlignment w:val="auto"/>
        <w:outlineLvl w:val="1"/>
        <w:rPr>
          <w:rFonts w:ascii="宋体" w:hAnsi="宋体"/>
          <w:color w:val="000000"/>
          <w:szCs w:val="21"/>
          <w:highlight w:val="none"/>
        </w:rPr>
      </w:pPr>
      <w:r>
        <w:rPr>
          <w:rFonts w:hint="eastAsia" w:ascii="宋体" w:hAnsi="宋体"/>
          <w:b/>
          <w:bCs/>
          <w:color w:val="000000"/>
          <w:sz w:val="28"/>
          <w:szCs w:val="28"/>
          <w:highlight w:val="none"/>
        </w:rPr>
        <w:t>乙方：中选人</w:t>
      </w:r>
    </w:p>
    <w:p w14:paraId="1D33EC5C">
      <w:pPr>
        <w:keepNext w:val="0"/>
        <w:keepLines w:val="0"/>
        <w:pageBreakBefore w:val="0"/>
        <w:kinsoku/>
        <w:wordWrap/>
        <w:overflowPunct/>
        <w:topLinePunct w:val="0"/>
        <w:autoSpaceDE/>
        <w:autoSpaceDN/>
        <w:bidi w:val="0"/>
        <w:adjustRightInd/>
        <w:snapToGrid/>
        <w:spacing w:line="400" w:lineRule="exact"/>
        <w:ind w:left="0" w:leftChars="0"/>
        <w:textAlignment w:val="auto"/>
        <w:rPr>
          <w:rFonts w:hint="eastAsia" w:ascii="宋体" w:hAnsi="宋体"/>
          <w:b/>
          <w:bCs/>
          <w:snapToGrid w:val="0"/>
          <w:sz w:val="28"/>
          <w:szCs w:val="28"/>
          <w:highlight w:val="none"/>
        </w:rPr>
      </w:pPr>
    </w:p>
    <w:p w14:paraId="3E1106A0">
      <w:pPr>
        <w:keepNext w:val="0"/>
        <w:keepLines w:val="0"/>
        <w:pageBreakBefore w:val="0"/>
        <w:kinsoku/>
        <w:wordWrap/>
        <w:overflowPunct/>
        <w:topLinePunct w:val="0"/>
        <w:autoSpaceDE/>
        <w:autoSpaceDN/>
        <w:bidi w:val="0"/>
        <w:adjustRightInd/>
        <w:snapToGrid/>
        <w:spacing w:line="400" w:lineRule="exact"/>
        <w:ind w:left="0" w:leftChars="0"/>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1.合作模式：</w:t>
      </w:r>
    </w:p>
    <w:p w14:paraId="5C30C313">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left"/>
        <w:textAlignment w:val="auto"/>
        <w:rPr>
          <w:rFonts w:ascii="宋体" w:hAnsi="宋体"/>
          <w:color w:val="000000"/>
          <w:szCs w:val="21"/>
          <w:highlight w:val="none"/>
        </w:rPr>
      </w:pPr>
      <w:r>
        <w:rPr>
          <w:rFonts w:hint="eastAsia" w:ascii="宋体" w:hAnsi="宋体"/>
          <w:b/>
          <w:bCs/>
          <w:color w:val="000000"/>
          <w:szCs w:val="21"/>
          <w:highlight w:val="none"/>
          <w:lang w:val="en-US" w:eastAsia="zh-CN"/>
        </w:rPr>
        <w:t>1.</w:t>
      </w:r>
      <w:r>
        <w:rPr>
          <w:rFonts w:hint="eastAsia" w:ascii="宋体" w:hAnsi="宋体"/>
          <w:b/>
          <w:bCs/>
          <w:color w:val="000000"/>
          <w:szCs w:val="21"/>
          <w:highlight w:val="none"/>
        </w:rPr>
        <w:t>1</w:t>
      </w:r>
      <w:r>
        <w:rPr>
          <w:rFonts w:hint="eastAsia" w:ascii="宋体" w:hAnsi="宋体"/>
          <w:color w:val="000000"/>
          <w:szCs w:val="21"/>
          <w:highlight w:val="none"/>
        </w:rPr>
        <w:t>待甲方通过项目投资决策后，甲方与乙方签订合作协议，其设计阶段的启动，以甲方正式通知为准</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乙方施工图</w:t>
      </w:r>
      <w:r>
        <w:rPr>
          <w:rFonts w:hint="eastAsia" w:ascii="宋体" w:hAnsi="宋体"/>
          <w:color w:val="000000"/>
          <w:szCs w:val="21"/>
          <w:highlight w:val="none"/>
        </w:rPr>
        <w:t>设计完成</w:t>
      </w:r>
      <w:r>
        <w:rPr>
          <w:rFonts w:hint="eastAsia" w:ascii="宋体" w:hAnsi="宋体"/>
          <w:color w:val="000000"/>
          <w:szCs w:val="21"/>
          <w:highlight w:val="none"/>
          <w:lang w:val="en-US" w:eastAsia="zh-CN"/>
        </w:rPr>
        <w:t>并提交甲方审核通过</w:t>
      </w:r>
      <w:r>
        <w:rPr>
          <w:rFonts w:hint="eastAsia" w:ascii="宋体" w:hAnsi="宋体"/>
          <w:color w:val="000000"/>
          <w:szCs w:val="21"/>
          <w:highlight w:val="none"/>
        </w:rPr>
        <w:t>后，</w:t>
      </w:r>
      <w:r>
        <w:rPr>
          <w:rFonts w:hint="eastAsia" w:ascii="宋体" w:hAnsi="宋体"/>
          <w:color w:val="000000"/>
          <w:szCs w:val="21"/>
          <w:highlight w:val="none"/>
          <w:lang w:val="en-US" w:eastAsia="zh-CN"/>
        </w:rPr>
        <w:t>根据审核通过后的施工图编制样板间工程预算清单</w:t>
      </w:r>
      <w:r>
        <w:rPr>
          <w:rFonts w:hint="eastAsia" w:ascii="宋体" w:hAnsi="宋体"/>
          <w:color w:val="000000"/>
          <w:szCs w:val="21"/>
          <w:highlight w:val="none"/>
        </w:rPr>
        <w:t>，</w:t>
      </w:r>
      <w:r>
        <w:rPr>
          <w:rFonts w:hint="eastAsia" w:ascii="宋体" w:hAnsi="宋体"/>
          <w:color w:val="000000"/>
          <w:szCs w:val="21"/>
          <w:highlight w:val="none"/>
          <w:lang w:val="en-US" w:eastAsia="zh-CN"/>
        </w:rPr>
        <w:t>并报</w:t>
      </w:r>
      <w:r>
        <w:rPr>
          <w:rFonts w:hint="eastAsia" w:ascii="宋体" w:hAnsi="宋体"/>
          <w:color w:val="000000"/>
          <w:szCs w:val="21"/>
          <w:highlight w:val="none"/>
        </w:rPr>
        <w:t>甲方审定。</w:t>
      </w:r>
    </w:p>
    <w:p w14:paraId="032A8E69">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left"/>
        <w:textAlignment w:val="auto"/>
        <w:rPr>
          <w:rFonts w:ascii="宋体" w:hAnsi="宋体"/>
          <w:color w:val="000000"/>
          <w:szCs w:val="21"/>
          <w:highlight w:val="none"/>
        </w:rPr>
      </w:pPr>
      <w:r>
        <w:rPr>
          <w:rFonts w:hint="eastAsia" w:ascii="宋体" w:hAnsi="宋体"/>
          <w:b/>
          <w:bCs/>
          <w:color w:val="000000"/>
          <w:szCs w:val="21"/>
          <w:highlight w:val="none"/>
          <w:lang w:val="en-US" w:eastAsia="zh-CN"/>
        </w:rPr>
        <w:t>1.2</w:t>
      </w:r>
      <w:r>
        <w:rPr>
          <w:rFonts w:hint="eastAsia" w:ascii="宋体" w:hAnsi="宋体"/>
          <w:color w:val="000000"/>
          <w:szCs w:val="21"/>
          <w:highlight w:val="none"/>
        </w:rPr>
        <w:t>经甲方（比选人）审批同意后乙方（</w:t>
      </w:r>
      <w:r>
        <w:rPr>
          <w:rFonts w:hint="eastAsia" w:ascii="宋体" w:hAnsi="宋体"/>
          <w:color w:val="000000"/>
          <w:szCs w:val="21"/>
          <w:highlight w:val="none"/>
          <w:lang w:val="en-US" w:eastAsia="zh-CN"/>
        </w:rPr>
        <w:t>中</w:t>
      </w:r>
      <w:r>
        <w:rPr>
          <w:rFonts w:hint="eastAsia" w:ascii="宋体" w:hAnsi="宋体"/>
          <w:color w:val="000000"/>
          <w:szCs w:val="21"/>
          <w:highlight w:val="none"/>
        </w:rPr>
        <w:t>选人）可以委托具有相关资质的单位从事专业分包工作。</w:t>
      </w:r>
    </w:p>
    <w:p w14:paraId="531D650C">
      <w:pPr>
        <w:keepNext w:val="0"/>
        <w:keepLines w:val="0"/>
        <w:pageBreakBefore w:val="0"/>
        <w:widowControl/>
        <w:kinsoku/>
        <w:wordWrap/>
        <w:overflowPunct/>
        <w:topLinePunct w:val="0"/>
        <w:autoSpaceDE/>
        <w:autoSpaceDN/>
        <w:bidi w:val="0"/>
        <w:adjustRightInd/>
        <w:snapToGrid/>
        <w:spacing w:line="400" w:lineRule="exact"/>
        <w:ind w:left="0" w:leftChars="0" w:firstLine="422" w:firstLineChars="200"/>
        <w:jc w:val="left"/>
        <w:textAlignment w:val="auto"/>
        <w:rPr>
          <w:rFonts w:hint="default" w:ascii="宋体" w:hAnsi="宋体"/>
          <w:color w:val="000000"/>
          <w:szCs w:val="21"/>
          <w:highlight w:val="none"/>
          <w:lang w:val="en-US"/>
        </w:rPr>
      </w:pPr>
      <w:r>
        <w:rPr>
          <w:rFonts w:hint="eastAsia" w:ascii="宋体" w:hAnsi="宋体"/>
          <w:b/>
          <w:bCs/>
          <w:color w:val="000000"/>
          <w:szCs w:val="21"/>
          <w:highlight w:val="none"/>
          <w:lang w:val="en-US" w:eastAsia="zh-CN"/>
        </w:rPr>
        <w:t>1.3</w:t>
      </w:r>
      <w:r>
        <w:rPr>
          <w:rFonts w:hint="eastAsia" w:ascii="宋体" w:hAnsi="宋体"/>
          <w:color w:val="000000"/>
          <w:szCs w:val="21"/>
          <w:highlight w:val="none"/>
        </w:rPr>
        <w:t>本次</w:t>
      </w:r>
      <w:r>
        <w:rPr>
          <w:rFonts w:hint="eastAsia" w:ascii="宋体" w:hAnsi="宋体"/>
          <w:color w:val="000000"/>
          <w:szCs w:val="21"/>
          <w:highlight w:val="none"/>
          <w:lang w:val="en-US" w:eastAsia="zh-CN"/>
        </w:rPr>
        <w:t>项目设计</w:t>
      </w:r>
      <w:r>
        <w:rPr>
          <w:rFonts w:hint="eastAsia" w:ascii="宋体" w:hAnsi="宋体"/>
          <w:color w:val="000000"/>
          <w:szCs w:val="21"/>
          <w:highlight w:val="none"/>
        </w:rPr>
        <w:t>成果共分为三个阶段：</w:t>
      </w:r>
      <w:r>
        <w:rPr>
          <w:rFonts w:hint="eastAsia" w:ascii="宋体" w:hAnsi="宋体"/>
          <w:snapToGrid w:val="0"/>
          <w:kern w:val="0"/>
          <w:szCs w:val="21"/>
          <w:highlight w:val="none"/>
          <w:u w:val="none"/>
          <w:lang w:val="en-US" w:eastAsia="zh-CN"/>
        </w:rPr>
        <w:t>方案设计阶段、装饰工程施工图设计阶段、施工阶段。具体内容成果如下：</w:t>
      </w:r>
    </w:p>
    <w:p w14:paraId="189CF15B">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snapToGrid w:val="0"/>
          <w:kern w:val="0"/>
          <w:szCs w:val="21"/>
          <w:highlight w:val="none"/>
          <w:u w:val="none"/>
          <w:lang w:val="en-US" w:eastAsia="zh-CN"/>
        </w:rPr>
      </w:pPr>
      <w:r>
        <w:rPr>
          <w:rFonts w:hint="eastAsia" w:ascii="宋体" w:hAnsi="宋体"/>
          <w:snapToGrid w:val="0"/>
          <w:kern w:val="0"/>
          <w:szCs w:val="21"/>
          <w:highlight w:val="none"/>
          <w:u w:val="none"/>
          <w:lang w:val="en-US" w:eastAsia="zh-CN"/>
        </w:rPr>
        <w:t>（1）方案设计阶段工作内容</w:t>
      </w:r>
    </w:p>
    <w:p w14:paraId="540B12C0">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snapToGrid w:val="0"/>
          <w:kern w:val="0"/>
          <w:szCs w:val="21"/>
          <w:highlight w:val="none"/>
          <w:u w:val="none"/>
          <w:lang w:val="en-US" w:eastAsia="zh-CN"/>
        </w:rPr>
      </w:pPr>
      <w:r>
        <w:rPr>
          <w:rFonts w:hint="eastAsia" w:ascii="宋体" w:hAnsi="宋体"/>
          <w:snapToGrid w:val="0"/>
          <w:kern w:val="0"/>
          <w:szCs w:val="21"/>
          <w:highlight w:val="none"/>
          <w:u w:val="none"/>
          <w:lang w:val="en-US" w:eastAsia="zh-CN"/>
        </w:rPr>
        <w:t>根据比选人指定的</w:t>
      </w:r>
      <w:r>
        <w:rPr>
          <w:rFonts w:hint="eastAsia" w:ascii="宋体" w:hAnsi="宋体" w:eastAsia="宋体" w:cs="Times New Roman"/>
          <w:snapToGrid w:val="0"/>
          <w:kern w:val="0"/>
          <w:szCs w:val="21"/>
          <w:highlight w:val="none"/>
          <w:u w:val="none"/>
          <w:lang w:val="en-US" w:eastAsia="zh-CN"/>
        </w:rPr>
        <w:t>本次阿依河景区非遗工坊改造及环境布置所涉</w:t>
      </w:r>
      <w:r>
        <w:rPr>
          <w:rFonts w:hint="eastAsia" w:ascii="宋体" w:hAnsi="宋体"/>
          <w:snapToGrid w:val="0"/>
          <w:kern w:val="0"/>
          <w:szCs w:val="21"/>
          <w:highlight w:val="none"/>
          <w:u w:val="none"/>
          <w:lang w:val="en-US" w:eastAsia="zh-CN"/>
        </w:rPr>
        <w:t>及的范围完成方案设计，并报比选人审批。</w:t>
      </w:r>
    </w:p>
    <w:p w14:paraId="71BD4D8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snapToGrid w:val="0"/>
          <w:kern w:val="0"/>
          <w:szCs w:val="21"/>
          <w:highlight w:val="none"/>
          <w:u w:val="none"/>
          <w:lang w:val="en-US" w:eastAsia="zh-CN"/>
        </w:rPr>
      </w:pPr>
      <w:r>
        <w:rPr>
          <w:rFonts w:hint="eastAsia" w:ascii="宋体" w:hAnsi="宋体"/>
          <w:snapToGrid w:val="0"/>
          <w:kern w:val="0"/>
          <w:szCs w:val="21"/>
          <w:highlight w:val="none"/>
          <w:u w:val="none"/>
          <w:lang w:val="en-US" w:eastAsia="zh-CN"/>
        </w:rPr>
        <w:t>包括但不限于</w:t>
      </w:r>
      <w:r>
        <w:rPr>
          <w:rFonts w:hint="eastAsia" w:ascii="宋体" w:hAnsi="宋体"/>
          <w:snapToGrid w:val="0"/>
          <w:kern w:val="0"/>
          <w:szCs w:val="21"/>
          <w:highlight w:val="none"/>
          <w:u w:val="single"/>
          <w:lang w:val="en-US" w:eastAsia="zh-CN"/>
        </w:rPr>
        <w:t>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w:t>
      </w:r>
      <w:r>
        <w:rPr>
          <w:rFonts w:hint="eastAsia" w:ascii="宋体" w:hAnsi="宋体"/>
          <w:snapToGrid w:val="0"/>
          <w:kern w:val="0"/>
          <w:szCs w:val="21"/>
          <w:highlight w:val="none"/>
          <w:u w:val="none"/>
          <w:lang w:val="en-US" w:eastAsia="zh-CN"/>
        </w:rPr>
        <w:t>进行方案设计，成果应达到报比选人审查及概算编制依据深度。</w:t>
      </w:r>
    </w:p>
    <w:p w14:paraId="784955DF">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snapToGrid w:val="0"/>
          <w:kern w:val="0"/>
          <w:szCs w:val="21"/>
          <w:highlight w:val="none"/>
          <w:u w:val="none"/>
          <w:lang w:val="en-US" w:eastAsia="zh-CN"/>
        </w:rPr>
      </w:pPr>
      <w:r>
        <w:rPr>
          <w:rFonts w:hint="eastAsia" w:ascii="宋体" w:hAnsi="宋体"/>
          <w:snapToGrid w:val="0"/>
          <w:kern w:val="0"/>
          <w:szCs w:val="21"/>
          <w:highlight w:val="none"/>
          <w:u w:val="none"/>
          <w:lang w:val="en-US" w:eastAsia="zh-CN"/>
        </w:rPr>
        <w:t>（2）装饰工程施工图设计阶段工作内容</w:t>
      </w:r>
    </w:p>
    <w:p w14:paraId="3F4A2A33">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根据比选人审定的方案设计进行施工图设计，同时编制工程预算清单，并报比选人审批。</w:t>
      </w:r>
    </w:p>
    <w:p w14:paraId="548BACF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项目装饰工程施工图设计内容包括但不限于以下内容：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进行施工图设计。</w:t>
      </w:r>
    </w:p>
    <w:p w14:paraId="18AF3079">
      <w:pPr>
        <w:keepNext w:val="0"/>
        <w:keepLines w:val="0"/>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outlineLvl w:val="2"/>
        <w:rPr>
          <w:rFonts w:hint="eastAsia" w:ascii="宋体" w:hAnsi="宋体"/>
          <w:snapToGrid w:val="0"/>
          <w:kern w:val="0"/>
          <w:szCs w:val="21"/>
          <w:highlight w:val="none"/>
          <w:u w:val="none"/>
          <w:lang w:val="en-US" w:eastAsia="zh-CN"/>
        </w:rPr>
      </w:pPr>
      <w:r>
        <w:rPr>
          <w:rFonts w:hint="eastAsia" w:ascii="宋体" w:hAnsi="宋体"/>
          <w:snapToGrid w:val="0"/>
          <w:kern w:val="0"/>
          <w:szCs w:val="21"/>
          <w:highlight w:val="none"/>
          <w:u w:val="none"/>
          <w:lang w:val="en-US" w:eastAsia="zh-CN"/>
        </w:rPr>
        <w:t>（3）施工阶段工作内容</w:t>
      </w:r>
    </w:p>
    <w:p w14:paraId="6CF67B1A">
      <w:pPr>
        <w:pageBreakBefore w:val="0"/>
        <w:widowControl w:val="0"/>
        <w:tabs>
          <w:tab w:val="left" w:pos="3315"/>
          <w:tab w:val="left" w:pos="3390"/>
          <w:tab w:val="left" w:pos="6120"/>
          <w:tab w:val="left" w:pos="8850"/>
        </w:tabs>
        <w:kinsoku/>
        <w:wordWrap/>
        <w:overflowPunct/>
        <w:topLinePunct w:val="0"/>
        <w:autoSpaceDE w:val="0"/>
        <w:autoSpaceDN w:val="0"/>
        <w:bidi w:val="0"/>
        <w:adjustRightInd w:val="0"/>
        <w:snapToGrid w:val="0"/>
        <w:spacing w:line="400" w:lineRule="exact"/>
        <w:ind w:firstLine="420"/>
        <w:jc w:val="left"/>
        <w:textAlignment w:val="auto"/>
        <w:rPr>
          <w:rFonts w:hint="eastAsia" w:ascii="宋体" w:hAnsi="宋体"/>
          <w:snapToGrid w:val="0"/>
          <w:kern w:val="0"/>
          <w:szCs w:val="21"/>
          <w:highlight w:val="none"/>
          <w:u w:val="single"/>
          <w:lang w:val="en-US" w:eastAsia="zh-CN"/>
        </w:rPr>
      </w:pPr>
      <w:r>
        <w:rPr>
          <w:rFonts w:hint="eastAsia" w:ascii="宋体" w:hAnsi="宋体"/>
          <w:snapToGrid w:val="0"/>
          <w:kern w:val="0"/>
          <w:szCs w:val="21"/>
          <w:highlight w:val="none"/>
          <w:u w:val="single"/>
          <w:lang w:val="en-US" w:eastAsia="zh-CN"/>
        </w:rPr>
        <w:t>根据比选人审定的施工图、预算等文件进行样改造施工，内容包括但不限于以下内容：对现有接待中心1号楼区域进行必要的保护性拆除及出渣（包括现部分区域隔墙及顶面造型、弧形墙面、木质隔断、圆形地台、灯具、墙面乳胶漆、露台防腐木地面等的拆除及出渣）；室内改造及装修（包括室内新建隔墙、墙体漆面、门厅墙面造型、吊顶造型、强弱电线路改造、室内灯光改造、室外布局改造等）；固定及活动家具订制（包括订制展示柜、订制操作台、订制休闲凳、定制品茗桌椅、休闲区躺椅等）；室内软装（包括窗帘、装饰摆件、配饰等）；室外景观（包括露台区域的室外软景及室外硬景等）进行施工作业。以及为满足工程施工与经营相配套所需完成的场地准备、临时设施设备等相关工作，包括但不限于临时通道搭设、临时用水、临时用电、临时排水排污、临时开口、原有装饰材料拆除清运（如有）等工作，及为确保安全文明施工的各项保障措施、工作。</w:t>
      </w:r>
    </w:p>
    <w:p w14:paraId="4B868048">
      <w:pPr>
        <w:keepNext w:val="0"/>
        <w:keepLines w:val="0"/>
        <w:pageBreakBefore w:val="0"/>
        <w:kinsoku/>
        <w:wordWrap/>
        <w:overflowPunct/>
        <w:topLinePunct w:val="0"/>
        <w:autoSpaceDE/>
        <w:autoSpaceDN/>
        <w:bidi w:val="0"/>
        <w:adjustRightInd/>
        <w:snapToGrid/>
        <w:spacing w:line="400" w:lineRule="exact"/>
        <w:textAlignment w:val="auto"/>
        <w:outlineLvl w:val="1"/>
        <w:rPr>
          <w:rFonts w:ascii="宋体" w:hAnsi="宋体"/>
          <w:b/>
          <w:bCs/>
          <w:snapToGrid w:val="0"/>
          <w:sz w:val="28"/>
          <w:szCs w:val="28"/>
          <w:highlight w:val="none"/>
        </w:rPr>
      </w:pPr>
      <w:r>
        <w:rPr>
          <w:rFonts w:hint="eastAsia" w:ascii="宋体" w:hAnsi="宋体"/>
          <w:b/>
          <w:bCs/>
          <w:snapToGrid w:val="0"/>
          <w:sz w:val="28"/>
          <w:szCs w:val="28"/>
          <w:highlight w:val="none"/>
        </w:rPr>
        <w:t>2.费用结算及支付</w:t>
      </w:r>
    </w:p>
    <w:p w14:paraId="256CAB4E">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2.1费用结算：合同结算价=全费用装饰工程设计费+工程结算价±合同约定的其他费用。合同约定的其他费用包括变更结算金额、索赔赔付金额、奖励、罚金、违约金、价差调整等。 </w:t>
      </w:r>
    </w:p>
    <w:p w14:paraId="61DB938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2.1.1设计费结算原则 </w:t>
      </w:r>
    </w:p>
    <w:p w14:paraId="4751BDD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u w:val="single"/>
        </w:rPr>
      </w:pPr>
      <w:r>
        <w:rPr>
          <w:rFonts w:hint="eastAsia" w:ascii="宋体" w:hAnsi="宋体" w:eastAsia="宋体" w:cs="宋体"/>
          <w:color w:val="000000"/>
          <w:kern w:val="0"/>
          <w:sz w:val="21"/>
          <w:szCs w:val="21"/>
          <w:highlight w:val="none"/>
          <w:u w:val="single"/>
          <w:lang w:val="en-US" w:eastAsia="zh-CN" w:bidi="ar"/>
        </w:rPr>
        <w:t xml:space="preserve">设计费按照合同签订金额包干价结算。中选人提供的设计文件必须实现招标人意图，满足项目功能需求、满足国家、行业相关规范及招标人技术标准要求，因中选人自身原因造成的设计文件有缺陷，中选人应无条件修改设计及施工内容，由此增加的设计费、建安工程费及其它费用均由中选人自行承担。 </w:t>
      </w:r>
    </w:p>
    <w:p w14:paraId="1FABD91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2.1.2工程费结算原则 </w:t>
      </w:r>
    </w:p>
    <w:p w14:paraId="13CE8D0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（1）施工图预算编制</w:t>
      </w:r>
    </w:p>
    <w:p w14:paraId="50EF4B8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中选人在施工设计图纸编制完成后，应根据本比选文件中所规定的参选报价中规定的报价原则和计价原则及中标下浮比例（中选下浮比例=1-工程费固定费率）编制工程量清单并进行清单组价（清单组价应按中标下浮比例下浮）并向比选人申报（比选人审定施工设计图纸后，中选人应按审定后的图纸对工程量清单和清单组价进行调整后再次报），由比选人审查后，审定的工程量清单及其综合单价作为进度款支付及结算依据，工程量据实结算；中选</w:t>
      </w:r>
      <w:r>
        <w:rPr>
          <w:rFonts w:hint="default" w:ascii="宋体" w:hAnsi="宋体" w:eastAsia="宋体" w:cs="宋体"/>
          <w:color w:val="000000"/>
          <w:kern w:val="0"/>
          <w:sz w:val="21"/>
          <w:szCs w:val="21"/>
          <w:highlight w:val="none"/>
          <w:lang w:val="en-US" w:eastAsia="zh-CN" w:bidi="ar"/>
        </w:rPr>
        <w:t xml:space="preserve">人申报的工程量清单及其组价应真实准确，根据施工图如有漏项，视为已包含在其他清单项目中结算时不予另行计算。下浮比例为税前总造价下浮（其中认质核价部分、安全文明施工费、规费、单独另有约定的项目不下浮），工程费建安工程费固定费率固定不变，不因任何因素调整。 </w:t>
      </w:r>
    </w:p>
    <w:p w14:paraId="3A1A9C0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（2）工程费结算</w:t>
      </w:r>
    </w:p>
    <w:p w14:paraId="6ACAADEB">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特别说明：本项目工程部分采取限额结算。以350000</w:t>
      </w:r>
      <w:r>
        <w:rPr>
          <w:rFonts w:hint="eastAsia" w:ascii="宋体" w:hAnsi="宋体" w:eastAsia="宋体" w:cs="宋体"/>
          <w:color w:val="000000"/>
          <w:kern w:val="0"/>
          <w:sz w:val="21"/>
          <w:szCs w:val="21"/>
          <w:highlight w:val="none"/>
          <w:u w:val="single"/>
          <w:lang w:val="en-US" w:eastAsia="zh-CN" w:bidi="ar"/>
        </w:rPr>
        <w:t xml:space="preserve">元作为结算限额，工程结算金额在结算限额内时，根据结算原则按实结算；若工程结算金额超过结算限额时，按结算限额结算。 </w:t>
      </w:r>
    </w:p>
    <w:p w14:paraId="54C5D49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kern w:val="0"/>
          <w:sz w:val="21"/>
          <w:szCs w:val="21"/>
          <w:highlight w:val="none"/>
          <w:u w:val="single"/>
          <w:lang w:val="en-US" w:eastAsia="zh-CN" w:bidi="ar"/>
        </w:rPr>
      </w:pPr>
      <w:r>
        <w:rPr>
          <w:rFonts w:hint="eastAsia" w:ascii="宋体" w:hAnsi="宋体" w:eastAsia="宋体" w:cs="宋体"/>
          <w:color w:val="000000"/>
          <w:kern w:val="0"/>
          <w:sz w:val="21"/>
          <w:szCs w:val="21"/>
          <w:highlight w:val="none"/>
          <w:u w:val="single"/>
          <w:lang w:val="en-US" w:eastAsia="zh-CN" w:bidi="ar"/>
        </w:rPr>
        <w:t>结算价=已完工合格分部分项工程量清单结算价+措施费(安全文明施工费除外)+分部分项工程量清单新增或变更等引起的增(减)子项结算价+暂列金额确定价+安全文明施工费+规费+税金，各部分的结算原则如下：</w:t>
      </w:r>
    </w:p>
    <w:p w14:paraId="766B65B8">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1）各分部分项工程工程量清单结算价：</w:t>
      </w:r>
    </w:p>
    <w:p w14:paraId="439BE1A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①</w:t>
      </w:r>
      <w:r>
        <w:rPr>
          <w:rFonts w:hint="eastAsia" w:ascii="宋体" w:hAnsi="宋体" w:eastAsia="宋体" w:cs="宋体"/>
          <w:color w:val="000000"/>
          <w:kern w:val="0"/>
          <w:sz w:val="21"/>
          <w:szCs w:val="21"/>
          <w:highlight w:val="none"/>
          <w:lang w:val="en-US" w:eastAsia="zh-CN" w:bidi="ar"/>
        </w:rPr>
        <w:t>子项工程量：子项工程量按《建设工程工程量清单计价规范》(GB50500-2013)、《市政工程工程量计算规范》(GB50857-2013)和《重庆市建设工程工程量计算规则》(CQJLGZ-2013)约定的计量规则计算的实际合格工程量，工程量计算以施工图及设计变更、有效签字资料结合竣工图和现场实际情况作为依据进行结算审核，并经审计(评审)后作为结算依据。</w:t>
      </w:r>
    </w:p>
    <w:p w14:paraId="240AB56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Calibri" w:hAnsi="Calibri" w:eastAsia="宋体" w:cs="Calibri"/>
          <w:color w:val="000000"/>
          <w:kern w:val="0"/>
          <w:sz w:val="21"/>
          <w:szCs w:val="21"/>
          <w:highlight w:val="none"/>
          <w:lang w:val="en-US" w:eastAsia="zh-CN" w:bidi="ar"/>
        </w:rPr>
        <w:t>②</w:t>
      </w:r>
      <w:r>
        <w:rPr>
          <w:rFonts w:hint="eastAsia" w:ascii="宋体" w:hAnsi="宋体" w:eastAsia="宋体" w:cs="宋体"/>
          <w:color w:val="000000"/>
          <w:kern w:val="0"/>
          <w:sz w:val="21"/>
          <w:szCs w:val="21"/>
          <w:highlight w:val="none"/>
          <w:lang w:val="en-US" w:eastAsia="zh-CN" w:bidi="ar"/>
        </w:rPr>
        <w:t>子项综合单价：以比选人审核的综合单价作为结算依据。</w:t>
      </w:r>
    </w:p>
    <w:p w14:paraId="34DC8D5D">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2）材料价差的调整：本项目材料价差不调整。</w:t>
      </w:r>
    </w:p>
    <w:p w14:paraId="1575FAE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3）措施费：按《重庆市建设工程费用定额》（CQFYDE-2018）及相关文件规定执行。 </w:t>
      </w:r>
    </w:p>
    <w:p w14:paraId="3E68653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4）安全文明施工费： </w:t>
      </w:r>
    </w:p>
    <w:p w14:paraId="287B1395">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highlight w:val="none"/>
        </w:rPr>
      </w:pPr>
      <w:r>
        <w:rPr>
          <w:rFonts w:hint="eastAsia" w:ascii="宋体" w:hAnsi="宋体" w:eastAsia="宋体" w:cs="宋体"/>
          <w:color w:val="000000"/>
          <w:kern w:val="0"/>
          <w:sz w:val="21"/>
          <w:szCs w:val="21"/>
          <w:highlight w:val="none"/>
          <w:lang w:val="en-US" w:eastAsia="zh-CN" w:bidi="ar"/>
        </w:rPr>
        <w:t>按照</w:t>
      </w:r>
      <w:r>
        <w:rPr>
          <w:rFonts w:hint="eastAsia"/>
          <w:highlight w:val="none"/>
        </w:rPr>
        <w:t>《重庆城乡建设委员会关于印《重庆市建设工程安全文明施工费计取及使用管理规定(2024版)》</w:t>
      </w:r>
      <w:r>
        <w:rPr>
          <w:rFonts w:hint="eastAsia"/>
          <w:highlight w:val="none"/>
          <w:lang w:eastAsia="zh-CN"/>
        </w:rPr>
        <w:t>（</w:t>
      </w:r>
      <w:r>
        <w:rPr>
          <w:rFonts w:hint="eastAsia"/>
          <w:highlight w:val="none"/>
        </w:rPr>
        <w:t>渝建管</w:t>
      </w:r>
      <w:r>
        <w:rPr>
          <w:rFonts w:hint="eastAsia" w:ascii="仿宋" w:hAnsi="仿宋" w:eastAsia="仿宋" w:cs="仿宋"/>
          <w:highlight w:val="none"/>
        </w:rPr>
        <w:t>〔</w:t>
      </w:r>
      <w:r>
        <w:rPr>
          <w:rFonts w:hint="eastAsia"/>
          <w:highlight w:val="none"/>
        </w:rPr>
        <w:t>2024</w:t>
      </w:r>
      <w:r>
        <w:rPr>
          <w:rFonts w:hint="eastAsia" w:ascii="仿宋" w:hAnsi="仿宋" w:eastAsia="仿宋" w:cs="仿宋"/>
          <w:highlight w:val="none"/>
        </w:rPr>
        <w:t>〕</w:t>
      </w:r>
      <w:r>
        <w:rPr>
          <w:rFonts w:hint="eastAsia"/>
          <w:highlight w:val="none"/>
        </w:rPr>
        <w:t>38号</w:t>
      </w:r>
      <w:r>
        <w:rPr>
          <w:rFonts w:hint="eastAsia"/>
          <w:highlight w:val="none"/>
          <w:lang w:eastAsia="zh-CN"/>
        </w:rPr>
        <w:t>）</w:t>
      </w:r>
      <w:r>
        <w:rPr>
          <w:rFonts w:hint="eastAsia" w:ascii="宋体" w:hAnsi="宋体" w:eastAsia="宋体" w:cs="宋体"/>
          <w:color w:val="000000"/>
          <w:kern w:val="0"/>
          <w:sz w:val="21"/>
          <w:szCs w:val="21"/>
          <w:highlight w:val="none"/>
          <w:lang w:val="en-US" w:eastAsia="zh-CN" w:bidi="ar"/>
        </w:rPr>
        <w:t>规定执行</w:t>
      </w:r>
      <w:r>
        <w:rPr>
          <w:rFonts w:ascii="瀹嬩綋" w:hAnsi="瀹嬩綋" w:eastAsia="瀹嬩綋" w:cs="瀹嬩綋"/>
          <w:color w:val="000000"/>
          <w:kern w:val="0"/>
          <w:sz w:val="21"/>
          <w:szCs w:val="21"/>
          <w:highlight w:val="none"/>
          <w:lang w:val="en-US" w:eastAsia="zh-CN" w:bidi="ar"/>
        </w:rPr>
        <w:t xml:space="preserve">。 </w:t>
      </w:r>
    </w:p>
    <w:p w14:paraId="5D67CE1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5）规费：按相关规定计取。 </w:t>
      </w:r>
    </w:p>
    <w:p w14:paraId="7309C4B7">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6）税金：按照《重庆市建设工程费用定额》（CQFYDE-2018）和 《重庆市住房和城乡建设委员会关于适用增值税新税率调整建设工程计价依据的通知》（渝建（2019）143 号）的规定执行。 </w:t>
      </w:r>
    </w:p>
    <w:p w14:paraId="58134D56">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7）变更估价原则：本工</w:t>
      </w:r>
      <w:bookmarkStart w:id="0" w:name="_GoBack"/>
      <w:r>
        <w:rPr>
          <w:rFonts w:hint="eastAsia" w:ascii="宋体" w:hAnsi="宋体" w:eastAsia="宋体" w:cs="宋体"/>
          <w:color w:val="000000"/>
          <w:kern w:val="0"/>
          <w:sz w:val="21"/>
          <w:szCs w:val="21"/>
          <w:highlight w:val="none"/>
          <w:lang w:val="en-US" w:eastAsia="zh-CN" w:bidi="ar"/>
        </w:rPr>
        <w:t>程所有变更均由中选人实施，但不增加任何设计费用；在工程施工过程中，因中选人自身原因造成的设计文件有缺陷，中选人应无条件修改设计及施工内容</w:t>
      </w:r>
      <w:r>
        <w:rPr>
          <w:rFonts w:hint="default" w:ascii="宋体" w:hAnsi="宋体" w:eastAsia="宋体" w:cs="宋体"/>
          <w:color w:val="000000"/>
          <w:kern w:val="0"/>
          <w:sz w:val="21"/>
          <w:szCs w:val="21"/>
          <w:highlight w:val="none"/>
          <w:lang w:val="en-US" w:eastAsia="zh-CN" w:bidi="ar"/>
        </w:rPr>
        <w:t>；非</w:t>
      </w:r>
      <w:r>
        <w:rPr>
          <w:rFonts w:hint="eastAsia" w:ascii="宋体" w:hAnsi="宋体" w:eastAsia="宋体" w:cs="宋体"/>
          <w:color w:val="000000"/>
          <w:kern w:val="0"/>
          <w:sz w:val="21"/>
          <w:szCs w:val="21"/>
          <w:highlight w:val="none"/>
          <w:lang w:val="en-US" w:eastAsia="zh-CN" w:bidi="ar"/>
        </w:rPr>
        <w:t>中选人</w:t>
      </w:r>
      <w:r>
        <w:rPr>
          <w:rFonts w:hint="default" w:ascii="宋体" w:hAnsi="宋体" w:eastAsia="宋体" w:cs="宋体"/>
          <w:color w:val="000000"/>
          <w:kern w:val="0"/>
          <w:sz w:val="21"/>
          <w:szCs w:val="21"/>
          <w:highlight w:val="none"/>
          <w:lang w:val="en-US" w:eastAsia="zh-CN" w:bidi="ar"/>
        </w:rPr>
        <w:t>原因引起的变更，其建安工程费采用以下办法结算：由</w:t>
      </w:r>
      <w:r>
        <w:rPr>
          <w:rFonts w:hint="eastAsia" w:ascii="宋体" w:hAnsi="宋体" w:eastAsia="宋体" w:cs="宋体"/>
          <w:color w:val="000000"/>
          <w:kern w:val="0"/>
          <w:sz w:val="21"/>
          <w:szCs w:val="21"/>
          <w:highlight w:val="none"/>
          <w:lang w:val="en-US" w:eastAsia="zh-CN" w:bidi="ar"/>
        </w:rPr>
        <w:t>比选人</w:t>
      </w:r>
      <w:r>
        <w:rPr>
          <w:rFonts w:hint="default" w:ascii="宋体" w:hAnsi="宋体" w:eastAsia="宋体" w:cs="宋体"/>
          <w:color w:val="000000"/>
          <w:kern w:val="0"/>
          <w:sz w:val="21"/>
          <w:szCs w:val="21"/>
          <w:highlight w:val="none"/>
          <w:lang w:val="en-US" w:eastAsia="zh-CN" w:bidi="ar"/>
        </w:rPr>
        <w:t>委托第三方咨询机构审定的工程量清单中有相同清单的，执行该清单价格；有类似清单的，按类似清单进行结算；即无相同清单也无类似清单的，按合同及</w:t>
      </w:r>
      <w:r>
        <w:rPr>
          <w:rFonts w:hint="eastAsia" w:ascii="宋体" w:hAnsi="宋体" w:eastAsia="宋体" w:cs="宋体"/>
          <w:color w:val="000000"/>
          <w:kern w:val="0"/>
          <w:sz w:val="21"/>
          <w:szCs w:val="21"/>
          <w:highlight w:val="none"/>
          <w:lang w:val="en-US" w:eastAsia="zh-CN" w:bidi="ar"/>
        </w:rPr>
        <w:t>比选文件</w:t>
      </w:r>
      <w:r>
        <w:rPr>
          <w:rFonts w:hint="default" w:ascii="宋体" w:hAnsi="宋体" w:eastAsia="宋体" w:cs="宋体"/>
          <w:color w:val="000000"/>
          <w:kern w:val="0"/>
          <w:sz w:val="21"/>
          <w:szCs w:val="21"/>
          <w:highlight w:val="none"/>
          <w:lang w:val="en-US" w:eastAsia="zh-CN" w:bidi="ar"/>
        </w:rPr>
        <w:t>载明的建安工程费报价、计价原则以及</w:t>
      </w:r>
      <w:r>
        <w:rPr>
          <w:rFonts w:hint="eastAsia" w:ascii="宋体" w:hAnsi="宋体" w:eastAsia="宋体" w:cs="宋体"/>
          <w:color w:val="000000"/>
          <w:kern w:val="0"/>
          <w:sz w:val="21"/>
          <w:szCs w:val="21"/>
          <w:highlight w:val="none"/>
          <w:lang w:val="en-US" w:eastAsia="zh-CN" w:bidi="ar"/>
        </w:rPr>
        <w:t>中选</w:t>
      </w:r>
      <w:r>
        <w:rPr>
          <w:rFonts w:hint="default" w:ascii="宋体" w:hAnsi="宋体" w:eastAsia="宋体" w:cs="宋体"/>
          <w:color w:val="000000"/>
          <w:kern w:val="0"/>
          <w:sz w:val="21"/>
          <w:szCs w:val="21"/>
          <w:highlight w:val="none"/>
          <w:lang w:val="en-US" w:eastAsia="zh-CN" w:bidi="ar"/>
        </w:rPr>
        <w:t>下浮比</w:t>
      </w:r>
      <w:r>
        <w:rPr>
          <w:rFonts w:hint="eastAsia" w:ascii="宋体" w:hAnsi="宋体" w:eastAsia="宋体" w:cs="宋体"/>
          <w:color w:val="000000"/>
          <w:kern w:val="0"/>
          <w:sz w:val="21"/>
          <w:szCs w:val="21"/>
          <w:highlight w:val="none"/>
          <w:lang w:val="en-US" w:eastAsia="zh-CN" w:bidi="ar"/>
        </w:rPr>
        <w:t xml:space="preserve">例（中标下浮比例=1-建筑安装工程费固定费率）和范围进行结算。 </w:t>
      </w:r>
    </w:p>
    <w:p w14:paraId="68567ACA">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8）若根据前述规定计算的工程费结算</w:t>
      </w:r>
      <w:bookmarkEnd w:id="0"/>
      <w:r>
        <w:rPr>
          <w:rFonts w:hint="eastAsia" w:ascii="宋体" w:hAnsi="宋体" w:eastAsia="宋体" w:cs="宋体"/>
          <w:color w:val="000000"/>
          <w:kern w:val="0"/>
          <w:sz w:val="21"/>
          <w:szCs w:val="21"/>
          <w:highlight w:val="none"/>
          <w:lang w:val="en-US" w:eastAsia="zh-CN" w:bidi="ar"/>
        </w:rPr>
        <w:t>金额超过结算限额的，则按结算限额进行结算；若未超过，则按前述规定据实结算。</w:t>
      </w:r>
    </w:p>
    <w:p w14:paraId="33FD8114">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9）结算的其他约定：中选人提交的结算经比选人审核，若审减率在5%(含5%)以内，审计机构收取的基本审核费和审减效益费由比选人承担；若审减率超过5%，则审计机构收取的基本审核费由比选人承担，但审减效益费（按审减金额的5%计取，含审减5%以内的和审减超过5%以外的）均由中选人承担。比选人有权在应付中选人的款项中直接扣除。 </w:t>
      </w:r>
    </w:p>
    <w:p w14:paraId="6BB698D2">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10）本工程最终以比选人上级单位委托的审计单位审定金额作为结算价。</w:t>
      </w:r>
    </w:p>
    <w:p w14:paraId="61E6043C">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highlight w:val="none"/>
        </w:rPr>
      </w:pPr>
      <w:r>
        <w:rPr>
          <w:rFonts w:hint="eastAsia" w:ascii="宋体" w:hAnsi="宋体" w:eastAsia="宋体" w:cs="宋体"/>
          <w:color w:val="000000"/>
          <w:kern w:val="0"/>
          <w:sz w:val="21"/>
          <w:szCs w:val="21"/>
          <w:highlight w:val="none"/>
          <w:lang w:val="en-US" w:eastAsia="zh-CN" w:bidi="ar"/>
        </w:rPr>
        <w:t xml:space="preserve">2.1.3其他费用结算原则：按合同相关约定执行 。 </w:t>
      </w:r>
    </w:p>
    <w:p w14:paraId="6F0D0349">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ascii="宋体" w:hAnsi="宋体"/>
          <w:b/>
          <w:bCs/>
          <w:color w:val="000000"/>
          <w:szCs w:val="21"/>
          <w:highlight w:val="none"/>
        </w:rPr>
      </w:pPr>
      <w:r>
        <w:rPr>
          <w:rFonts w:ascii="宋体" w:hAnsi="宋体"/>
          <w:b/>
          <w:bCs/>
          <w:color w:val="000000"/>
          <w:szCs w:val="21"/>
          <w:highlight w:val="none"/>
        </w:rPr>
        <w:t>2.2费用支付</w:t>
      </w:r>
    </w:p>
    <w:p w14:paraId="086D4CD0">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2.2.1装饰工程设计费：</w:t>
      </w:r>
    </w:p>
    <w:p w14:paraId="263B6395">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b w:val="0"/>
          <w:bCs w:val="0"/>
          <w:color w:val="000000"/>
          <w:szCs w:val="21"/>
          <w:highlight w:val="none"/>
          <w:lang w:val="en-US" w:eastAsia="zh-CN"/>
        </w:rPr>
        <w:t>（1）乙方</w:t>
      </w:r>
      <w:r>
        <w:rPr>
          <w:rFonts w:hint="eastAsia" w:ascii="宋体" w:hAnsi="宋体"/>
          <w:snapToGrid w:val="0"/>
          <w:kern w:val="0"/>
          <w:szCs w:val="21"/>
          <w:highlight w:val="none"/>
          <w:u w:val="none"/>
          <w:lang w:val="en-US" w:eastAsia="zh-CN"/>
        </w:rPr>
        <w:t>完成方案设计，并报甲方审批通过后，支付装饰工程设计费的70%，在甲方收到</w:t>
      </w:r>
      <w:r>
        <w:rPr>
          <w:rFonts w:hint="eastAsia" w:ascii="宋体" w:hAnsi="宋体"/>
          <w:color w:val="000000"/>
          <w:szCs w:val="21"/>
          <w:highlight w:val="none"/>
        </w:rPr>
        <w:t>乙方开具的等额正式发票后</w:t>
      </w:r>
      <w:r>
        <w:rPr>
          <w:rFonts w:ascii="宋体" w:hAnsi="宋体"/>
          <w:color w:val="000000"/>
          <w:szCs w:val="21"/>
          <w:highlight w:val="none"/>
        </w:rPr>
        <w:t>7</w:t>
      </w:r>
      <w:r>
        <w:rPr>
          <w:rFonts w:hint="eastAsia" w:ascii="宋体" w:hAnsi="宋体"/>
          <w:color w:val="000000"/>
          <w:szCs w:val="21"/>
          <w:highlight w:val="none"/>
        </w:rPr>
        <w:t>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55883B2E">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乙方完成施工，经甲方验收通过后，甲方向乙方支付装饰工程设计费剩余的30%，</w:t>
      </w:r>
      <w:r>
        <w:rPr>
          <w:rFonts w:hint="eastAsia" w:ascii="宋体" w:hAnsi="宋体"/>
          <w:color w:val="000000"/>
          <w:szCs w:val="21"/>
          <w:highlight w:val="none"/>
        </w:rPr>
        <w:t>在甲方收到乙方开具的等额正式发票后 7个工作日内，甲方向乙方支付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p>
    <w:p w14:paraId="30AB81C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b w:val="0"/>
          <w:bCs w:val="0"/>
          <w:color w:val="000000"/>
          <w:szCs w:val="21"/>
          <w:highlight w:val="none"/>
          <w:lang w:val="en-US" w:eastAsia="zh-CN"/>
        </w:rPr>
      </w:pPr>
      <w:r>
        <w:rPr>
          <w:rFonts w:hint="eastAsia" w:ascii="宋体" w:hAnsi="宋体"/>
          <w:b w:val="0"/>
          <w:bCs w:val="0"/>
          <w:color w:val="000000"/>
          <w:szCs w:val="21"/>
          <w:highlight w:val="none"/>
          <w:lang w:val="en-US" w:eastAsia="zh-CN"/>
        </w:rPr>
        <w:t>2.2.2工程费：</w:t>
      </w:r>
    </w:p>
    <w:p w14:paraId="16957FA9">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eastAsia="宋体"/>
          <w:color w:val="000000"/>
          <w:szCs w:val="21"/>
          <w:highlight w:val="none"/>
          <w:lang w:eastAsia="zh-CN"/>
        </w:rPr>
      </w:pPr>
      <w:r>
        <w:rPr>
          <w:rFonts w:hint="eastAsia" w:ascii="宋体" w:hAnsi="宋体"/>
          <w:b w:val="0"/>
          <w:bCs w:val="0"/>
          <w:color w:val="000000"/>
          <w:szCs w:val="21"/>
          <w:highlight w:val="none"/>
          <w:lang w:val="en-US" w:eastAsia="zh-CN"/>
        </w:rPr>
        <w:t>（1）乙方完成施工，经甲方验收通过后1个月内，甲方向乙方支付合格工程量的70%，</w:t>
      </w:r>
      <w:r>
        <w:rPr>
          <w:rFonts w:hint="eastAsia" w:ascii="宋体" w:hAnsi="宋体"/>
          <w:color w:val="000000"/>
          <w:szCs w:val="21"/>
          <w:highlight w:val="none"/>
        </w:rPr>
        <w:t>在，甲方向乙方支付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673EC928">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eastAsia" w:ascii="宋体" w:hAnsi="宋体"/>
          <w:color w:val="000000"/>
          <w:szCs w:val="21"/>
          <w:highlight w:val="none"/>
          <w:lang w:eastAsia="zh-CN"/>
        </w:rPr>
      </w:pP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2</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经甲方委托的第三方咨询机构结算审计完成后1个月内，支付支至工程结算审计金额的95%，</w:t>
      </w:r>
      <w:r>
        <w:rPr>
          <w:rFonts w:hint="eastAsia" w:ascii="宋体" w:hAnsi="宋体"/>
          <w:color w:val="000000"/>
          <w:szCs w:val="21"/>
          <w:highlight w:val="none"/>
        </w:rPr>
        <w:t>甲方向乙方支付</w:t>
      </w:r>
      <w:r>
        <w:rPr>
          <w:rFonts w:hint="eastAsia" w:ascii="宋体" w:hAnsi="宋体"/>
          <w:color w:val="000000"/>
          <w:szCs w:val="21"/>
          <w:highlight w:val="none"/>
          <w:lang w:val="en-US" w:eastAsia="zh-CN"/>
        </w:rPr>
        <w:t>该笔</w:t>
      </w:r>
      <w:r>
        <w:rPr>
          <w:rFonts w:hint="eastAsia" w:ascii="宋体" w:hAnsi="宋体"/>
          <w:color w:val="000000"/>
          <w:szCs w:val="21"/>
          <w:highlight w:val="none"/>
        </w:rPr>
        <w:t>费用</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支付前</w:t>
      </w:r>
      <w:r>
        <w:rPr>
          <w:rFonts w:hint="eastAsia" w:ascii="宋体" w:hAnsi="宋体"/>
          <w:color w:val="000000"/>
          <w:szCs w:val="21"/>
          <w:highlight w:val="none"/>
        </w:rPr>
        <w:t>乙方</w:t>
      </w:r>
      <w:r>
        <w:rPr>
          <w:rFonts w:hint="eastAsia" w:ascii="宋体" w:hAnsi="宋体"/>
          <w:color w:val="000000"/>
          <w:szCs w:val="21"/>
          <w:highlight w:val="none"/>
          <w:lang w:val="en-US" w:eastAsia="zh-CN"/>
        </w:rPr>
        <w:t>须</w:t>
      </w:r>
      <w:r>
        <w:rPr>
          <w:rFonts w:hint="eastAsia" w:ascii="宋体" w:hAnsi="宋体"/>
          <w:color w:val="000000"/>
          <w:szCs w:val="21"/>
          <w:highlight w:val="none"/>
        </w:rPr>
        <w:t>开具等额正式</w:t>
      </w:r>
      <w:r>
        <w:rPr>
          <w:rFonts w:hint="eastAsia" w:ascii="宋体" w:hAnsi="宋体"/>
          <w:color w:val="000000"/>
          <w:szCs w:val="21"/>
          <w:highlight w:val="none"/>
          <w:lang w:val="en-US" w:eastAsia="zh-CN"/>
        </w:rPr>
        <w:t>增值税专用</w:t>
      </w:r>
      <w:r>
        <w:rPr>
          <w:rFonts w:hint="eastAsia" w:ascii="宋体" w:hAnsi="宋体"/>
          <w:color w:val="000000"/>
          <w:szCs w:val="21"/>
          <w:highlight w:val="none"/>
        </w:rPr>
        <w:t>发票</w:t>
      </w:r>
      <w:r>
        <w:rPr>
          <w:rFonts w:hint="eastAsia" w:ascii="宋体" w:hAnsi="宋体"/>
          <w:color w:val="000000"/>
          <w:szCs w:val="21"/>
          <w:highlight w:val="none"/>
          <w:lang w:eastAsia="zh-CN"/>
        </w:rPr>
        <w:t>。</w:t>
      </w:r>
    </w:p>
    <w:p w14:paraId="53BEF69C">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none"/>
          <w:lang w:val="en-US" w:eastAsia="zh-CN"/>
        </w:rPr>
      </w:pPr>
      <w:r>
        <w:rPr>
          <w:rFonts w:hint="eastAsia" w:ascii="宋体" w:hAnsi="宋体"/>
          <w:color w:val="000000"/>
          <w:szCs w:val="21"/>
          <w:highlight w:val="none"/>
          <w:lang w:val="en-US" w:eastAsia="zh-CN"/>
        </w:rPr>
        <w:t>（3）剩余5%工程审定金额作为质保金，在样板间缺陷责任期满后无息退还。</w:t>
      </w:r>
    </w:p>
    <w:p w14:paraId="740A3349">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b w:val="0"/>
          <w:bCs w:val="0"/>
          <w:color w:val="000000"/>
          <w:szCs w:val="21"/>
          <w:highlight w:val="none"/>
          <w:lang w:val="en-US" w:eastAsia="zh-CN"/>
        </w:rPr>
      </w:pPr>
    </w:p>
    <w:p w14:paraId="7CBB5D01">
      <w:pPr>
        <w:keepNext w:val="0"/>
        <w:keepLines w:val="0"/>
        <w:pageBreakBefore w:val="0"/>
        <w:kinsoku/>
        <w:wordWrap/>
        <w:overflowPunct/>
        <w:topLinePunct w:val="0"/>
        <w:autoSpaceDE/>
        <w:autoSpaceDN/>
        <w:bidi w:val="0"/>
        <w:adjustRightInd/>
        <w:snapToGrid/>
        <w:spacing w:line="400" w:lineRule="exact"/>
        <w:ind w:left="0" w:leftChars="0" w:firstLine="315" w:firstLineChars="150"/>
        <w:textAlignment w:val="auto"/>
        <w:rPr>
          <w:rFonts w:hint="default" w:ascii="宋体" w:hAnsi="宋体"/>
          <w:color w:val="000000"/>
          <w:szCs w:val="21"/>
          <w:highlight w:val="none"/>
          <w:lang w:val="en-US" w:eastAsia="zh-CN"/>
        </w:rPr>
      </w:pPr>
    </w:p>
    <w:p w14:paraId="0C06F252">
      <w:pPr>
        <w:pStyle w:val="12"/>
        <w:rPr>
          <w:rFonts w:hint="eastAsia"/>
          <w:lang w:eastAsia="zh-CN"/>
        </w:rPr>
      </w:pPr>
    </w:p>
    <w:p w14:paraId="4993750D">
      <w:pPr>
        <w:pStyle w:val="12"/>
        <w:rPr>
          <w:highlight w:val="none"/>
        </w:rPr>
      </w:pPr>
    </w:p>
    <w:p w14:paraId="035871BB">
      <w:pPr>
        <w:rPr>
          <w:highlight w:val="none"/>
        </w:rPr>
      </w:pPr>
      <w:r>
        <w:rPr>
          <w:rFonts w:hint="eastAsia" w:ascii="宋体" w:hAnsi="宋体"/>
          <w:highlight w:val="none"/>
          <w:lang w:val="en-US" w:eastAsia="zh-CN"/>
        </w:rPr>
        <w:br w:type="page"/>
      </w:r>
    </w:p>
    <w:p w14:paraId="415A2C2A">
      <w:pPr>
        <w:rPr>
          <w:highlight w:val="none"/>
        </w:rPr>
      </w:pPr>
    </w:p>
    <w:p w14:paraId="64E94489">
      <w:pPr>
        <w:pStyle w:val="2"/>
        <w:spacing w:line="360" w:lineRule="auto"/>
        <w:jc w:val="center"/>
        <w:rPr>
          <w:rFonts w:ascii="宋体" w:hAnsi="宋体"/>
          <w:sz w:val="36"/>
          <w:szCs w:val="36"/>
          <w:highlight w:val="none"/>
        </w:rPr>
      </w:pPr>
      <w:r>
        <w:rPr>
          <w:rFonts w:hint="eastAsia" w:ascii="宋体" w:hAnsi="宋体"/>
          <w:highlight w:val="none"/>
        </w:rPr>
        <w:t>第</w:t>
      </w:r>
      <w:r>
        <w:rPr>
          <w:rFonts w:hint="eastAsia" w:ascii="宋体" w:hAnsi="宋体"/>
          <w:highlight w:val="none"/>
          <w:lang w:val="en-US" w:eastAsia="zh-CN"/>
        </w:rPr>
        <w:t>五</w:t>
      </w:r>
      <w:r>
        <w:rPr>
          <w:rFonts w:hint="eastAsia" w:ascii="宋体" w:hAnsi="宋体"/>
          <w:highlight w:val="none"/>
        </w:rPr>
        <w:t>章  参选文件格式</w:t>
      </w:r>
    </w:p>
    <w:p w14:paraId="31475487">
      <w:pPr>
        <w:spacing w:line="360" w:lineRule="auto"/>
        <w:jc w:val="center"/>
        <w:outlineLvl w:val="0"/>
        <w:rPr>
          <w:rFonts w:ascii="宋体" w:hAnsi="宋体"/>
          <w:sz w:val="36"/>
          <w:szCs w:val="36"/>
          <w:highlight w:val="none"/>
        </w:rPr>
      </w:pPr>
      <w:r>
        <w:rPr>
          <w:rFonts w:hint="eastAsia" w:ascii="宋体" w:hAnsi="宋体"/>
          <w:sz w:val="36"/>
          <w:szCs w:val="36"/>
          <w:highlight w:val="none"/>
        </w:rPr>
        <w:t>目  录</w:t>
      </w:r>
    </w:p>
    <w:p w14:paraId="2644553A">
      <w:pPr>
        <w:spacing w:line="360" w:lineRule="auto"/>
        <w:jc w:val="center"/>
        <w:rPr>
          <w:rFonts w:ascii="宋体" w:hAnsi="宋体"/>
          <w:szCs w:val="20"/>
          <w:highlight w:val="none"/>
        </w:rPr>
      </w:pPr>
    </w:p>
    <w:p w14:paraId="5323564F">
      <w:pPr>
        <w:spacing w:line="360" w:lineRule="auto"/>
        <w:outlineLvl w:val="0"/>
        <w:rPr>
          <w:rFonts w:ascii="宋体" w:hAnsi="宋体"/>
          <w:b/>
          <w:highlight w:val="none"/>
        </w:rPr>
      </w:pPr>
      <w:r>
        <w:rPr>
          <w:rFonts w:hint="eastAsia" w:ascii="宋体" w:hAnsi="宋体"/>
          <w:b/>
          <w:highlight w:val="none"/>
        </w:rPr>
        <w:t>一</w:t>
      </w:r>
      <w:r>
        <w:rPr>
          <w:rFonts w:ascii="宋体" w:hAnsi="宋体"/>
          <w:b/>
          <w:highlight w:val="none"/>
        </w:rPr>
        <w:t>、</w:t>
      </w:r>
      <w:r>
        <w:rPr>
          <w:rFonts w:hint="eastAsia" w:ascii="宋体" w:hAnsi="宋体"/>
          <w:b/>
          <w:highlight w:val="none"/>
        </w:rPr>
        <w:t>报价文件</w:t>
      </w:r>
    </w:p>
    <w:p w14:paraId="5D70B676">
      <w:pPr>
        <w:spacing w:line="360" w:lineRule="auto"/>
        <w:ind w:firstLine="420" w:firstLineChars="200"/>
        <w:rPr>
          <w:rFonts w:ascii="宋体" w:hAnsi="宋体"/>
          <w:highlight w:val="none"/>
        </w:rPr>
      </w:pPr>
      <w:r>
        <w:rPr>
          <w:rFonts w:ascii="宋体" w:hAnsi="宋体"/>
          <w:highlight w:val="none"/>
        </w:rPr>
        <w:t>（一）参选函</w:t>
      </w:r>
    </w:p>
    <w:p w14:paraId="60775EA2">
      <w:pPr>
        <w:spacing w:line="360" w:lineRule="auto"/>
        <w:ind w:firstLine="420" w:firstLineChars="200"/>
        <w:rPr>
          <w:rFonts w:ascii="宋体" w:hAnsi="宋体"/>
          <w:highlight w:val="none"/>
        </w:rPr>
      </w:pPr>
      <w:r>
        <w:rPr>
          <w:rFonts w:ascii="宋体" w:hAnsi="宋体"/>
          <w:highlight w:val="none"/>
        </w:rPr>
        <w:t>（二）</w:t>
      </w:r>
      <w:r>
        <w:rPr>
          <w:rFonts w:hint="eastAsia" w:ascii="宋体" w:hAnsi="宋体"/>
          <w:highlight w:val="none"/>
        </w:rPr>
        <w:t>法定代表人身份证明或附有法定代表人身份证明的授权委托书</w:t>
      </w:r>
    </w:p>
    <w:p w14:paraId="3352CCCB">
      <w:pPr>
        <w:spacing w:line="360" w:lineRule="auto"/>
        <w:outlineLvl w:val="0"/>
        <w:rPr>
          <w:rFonts w:ascii="宋体" w:hAnsi="宋体"/>
          <w:b/>
          <w:highlight w:val="none"/>
        </w:rPr>
      </w:pPr>
      <w:r>
        <w:rPr>
          <w:rFonts w:hint="eastAsia" w:ascii="宋体" w:hAnsi="宋体"/>
          <w:b/>
          <w:highlight w:val="none"/>
        </w:rPr>
        <w:t>二</w:t>
      </w:r>
      <w:r>
        <w:rPr>
          <w:rFonts w:ascii="宋体" w:hAnsi="宋体"/>
          <w:b/>
          <w:highlight w:val="none"/>
        </w:rPr>
        <w:t>、技术部分</w:t>
      </w:r>
    </w:p>
    <w:p w14:paraId="25CA3C23">
      <w:pPr>
        <w:spacing w:line="360" w:lineRule="auto"/>
        <w:outlineLvl w:val="0"/>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资格审查部分</w:t>
      </w:r>
    </w:p>
    <w:p w14:paraId="7E87C00C">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6F343D61">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4512C589">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017ED53F">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）其他资料</w:t>
      </w:r>
      <w:r>
        <w:rPr>
          <w:rFonts w:hint="eastAsia" w:ascii="宋体" w:hAnsi="宋体"/>
          <w:szCs w:val="21"/>
          <w:highlight w:val="none"/>
        </w:rPr>
        <w:t>（业绩证明材料等）</w:t>
      </w:r>
    </w:p>
    <w:p w14:paraId="56BE19E0">
      <w:pPr>
        <w:pStyle w:val="12"/>
        <w:rPr>
          <w:rFonts w:ascii="宋体" w:hAnsi="宋体"/>
          <w:szCs w:val="21"/>
          <w:highlight w:val="none"/>
        </w:rPr>
      </w:pPr>
    </w:p>
    <w:p w14:paraId="3075095E">
      <w:pPr>
        <w:keepNext/>
        <w:keepLines/>
        <w:spacing w:before="260" w:after="260" w:line="360" w:lineRule="auto"/>
        <w:jc w:val="center"/>
        <w:outlineLvl w:val="1"/>
        <w:rPr>
          <w:rFonts w:ascii="宋体" w:hAnsi="宋体"/>
          <w:sz w:val="44"/>
          <w:szCs w:val="44"/>
          <w:highlight w:val="none"/>
        </w:rPr>
        <w:sectPr>
          <w:footerReference r:id="rId4" w:type="default"/>
          <w:pgSz w:w="11906" w:h="16838"/>
          <w:pgMar w:top="1440" w:right="1800" w:bottom="1440" w:left="1800" w:header="851" w:footer="992" w:gutter="0"/>
          <w:cols w:space="720" w:num="1"/>
          <w:docGrid w:type="lines" w:linePitch="312" w:charSpace="0"/>
        </w:sectPr>
      </w:pPr>
    </w:p>
    <w:p w14:paraId="393E6820">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一、报价文件</w:t>
      </w:r>
    </w:p>
    <w:p w14:paraId="5D362219">
      <w:pPr>
        <w:tabs>
          <w:tab w:val="left" w:pos="6300"/>
        </w:tabs>
        <w:snapToGrid w:val="0"/>
        <w:spacing w:line="312" w:lineRule="auto"/>
        <w:ind w:firstLine="480" w:firstLineChars="200"/>
        <w:outlineLvl w:val="1"/>
        <w:rPr>
          <w:rFonts w:ascii="宋体" w:hAnsi="宋体" w:cs="宋体"/>
          <w:bCs/>
          <w:sz w:val="24"/>
          <w:highlight w:val="none"/>
        </w:rPr>
      </w:pPr>
      <w:r>
        <w:rPr>
          <w:rFonts w:hint="eastAsia" w:ascii="宋体" w:hAnsi="宋体" w:cs="宋体"/>
          <w:bCs/>
          <w:sz w:val="24"/>
          <w:highlight w:val="none"/>
        </w:rPr>
        <w:t>（一）参选报价函</w:t>
      </w:r>
    </w:p>
    <w:p w14:paraId="484D47C8">
      <w:pPr>
        <w:spacing w:line="500" w:lineRule="exact"/>
        <w:jc w:val="center"/>
        <w:rPr>
          <w:rFonts w:ascii="方正小标宋_GBK" w:hAnsi="方正小标宋_GBK" w:eastAsia="方正小标宋_GBK" w:cs="方正小标宋_GBK"/>
          <w:b w:val="0"/>
          <w:bCs w:val="0"/>
          <w:sz w:val="36"/>
          <w:szCs w:val="36"/>
          <w:highlight w:val="none"/>
        </w:rPr>
      </w:pPr>
      <w:r>
        <w:rPr>
          <w:rFonts w:hint="eastAsia" w:ascii="方正小标宋_GBK" w:hAnsi="方正小标宋_GBK" w:eastAsia="方正小标宋_GBK" w:cs="方正小标宋_GBK"/>
          <w:b w:val="0"/>
          <w:bCs w:val="0"/>
          <w:sz w:val="36"/>
          <w:szCs w:val="36"/>
          <w:highlight w:val="none"/>
        </w:rPr>
        <w:t>《</w:t>
      </w:r>
      <w:r>
        <w:rPr>
          <w:rFonts w:hint="eastAsia" w:ascii="方正小标宋_GBK" w:hAnsi="方正小标宋_GBK" w:eastAsia="方正小标宋_GBK" w:cs="方正小标宋_GBK"/>
          <w:b w:val="0"/>
          <w:bCs w:val="0"/>
          <w:sz w:val="36"/>
          <w:szCs w:val="36"/>
          <w:highlight w:val="none"/>
          <w:lang w:val="en-US" w:eastAsia="zh-CN"/>
        </w:rPr>
        <w:t>阿依河景区非遗工坊改造及环境布置EPC工程</w:t>
      </w:r>
      <w:r>
        <w:rPr>
          <w:rFonts w:hint="eastAsia" w:ascii="方正小标宋_GBK" w:hAnsi="方正小标宋_GBK" w:eastAsia="方正小标宋_GBK" w:cs="方正小标宋_GBK"/>
          <w:b w:val="0"/>
          <w:bCs w:val="0"/>
          <w:sz w:val="36"/>
          <w:szCs w:val="36"/>
          <w:highlight w:val="none"/>
        </w:rPr>
        <w:t>》公开比选文件报价函</w:t>
      </w:r>
    </w:p>
    <w:p w14:paraId="085587B9">
      <w:pPr>
        <w:spacing w:line="260" w:lineRule="exact"/>
        <w:jc w:val="left"/>
        <w:rPr>
          <w:rFonts w:hint="eastAsia" w:ascii="方正仿宋_GBK" w:hAnsi="方正仿宋_GBK" w:eastAsia="方正仿宋_GBK" w:cs="方正仿宋_GBK"/>
          <w:sz w:val="24"/>
          <w:highlight w:val="none"/>
        </w:rPr>
      </w:pPr>
    </w:p>
    <w:p w14:paraId="122658A2">
      <w:pPr>
        <w:spacing w:line="260" w:lineRule="exact"/>
        <w:jc w:val="left"/>
        <w:rPr>
          <w:rFonts w:hint="eastAsia" w:ascii="方正仿宋_GBK" w:hAnsi="方正仿宋_GBK" w:eastAsia="方正仿宋_GBK" w:cs="方正仿宋_GBK"/>
          <w:sz w:val="24"/>
          <w:highlight w:val="none"/>
        </w:rPr>
      </w:pPr>
    </w:p>
    <w:p w14:paraId="0809C678">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致</w:t>
      </w:r>
      <w:r>
        <w:rPr>
          <w:rFonts w:hint="eastAsia" w:ascii="方正仿宋_GBK" w:hAnsi="方正仿宋_GBK" w:eastAsia="方正仿宋_GBK" w:cs="方正仿宋_GBK"/>
          <w:sz w:val="24"/>
          <w:highlight w:val="none"/>
          <w:lang w:val="en-US" w:eastAsia="zh-CN"/>
        </w:rPr>
        <w:t>重庆乌江画廊旅游开发有限公司阿依河分公司</w:t>
      </w:r>
      <w:r>
        <w:rPr>
          <w:rFonts w:hint="eastAsia" w:ascii="方正仿宋_GBK" w:hAnsi="方正仿宋_GBK" w:eastAsia="方正仿宋_GBK" w:cs="方正仿宋_GBK"/>
          <w:sz w:val="24"/>
          <w:highlight w:val="none"/>
        </w:rPr>
        <w:t>：</w:t>
      </w:r>
    </w:p>
    <w:p w14:paraId="3FA182BF">
      <w:pPr>
        <w:spacing w:line="260" w:lineRule="exact"/>
        <w:ind w:firstLine="480"/>
        <w:jc w:val="left"/>
        <w:rPr>
          <w:highlight w:val="none"/>
        </w:rPr>
      </w:pPr>
      <w:r>
        <w:rPr>
          <w:rFonts w:hint="eastAsia" w:ascii="方正仿宋_GBK" w:hAnsi="方正仿宋_GBK" w:eastAsia="方正仿宋_GBK" w:cs="方正仿宋_GBK"/>
          <w:sz w:val="24"/>
          <w:highlight w:val="none"/>
        </w:rPr>
        <w:t>我方根据贵司关于《</w:t>
      </w:r>
      <w:r>
        <w:rPr>
          <w:rFonts w:hint="eastAsia" w:ascii="方正仿宋_GBK" w:hAnsi="方正仿宋_GBK" w:eastAsia="方正仿宋_GBK" w:cs="方正仿宋_GBK"/>
          <w:sz w:val="24"/>
          <w:highlight w:val="none"/>
          <w:lang w:val="en-US" w:eastAsia="zh-CN"/>
        </w:rPr>
        <w:t>阿依河景区非遗工坊改造及环境布置EPC工程</w:t>
      </w:r>
      <w:r>
        <w:rPr>
          <w:rFonts w:hint="eastAsia" w:ascii="方正仿宋_GBK" w:hAnsi="方正仿宋_GBK" w:eastAsia="方正仿宋_GBK" w:cs="方正仿宋_GBK"/>
          <w:sz w:val="24"/>
          <w:highlight w:val="none"/>
        </w:rPr>
        <w:t>》的要求，通过委任的全权代表，向贵方递交密封册装的全套报价文件参与下列项目的投标报价，现为我方的一切投标行为作郑重承诺及声明如下：</w:t>
      </w:r>
    </w:p>
    <w:p w14:paraId="2C71639B">
      <w:pPr>
        <w:spacing w:line="260" w:lineRule="exact"/>
        <w:ind w:firstLine="480"/>
        <w:jc w:val="left"/>
        <w:rPr>
          <w:rFonts w:ascii="方正仿宋_GBK" w:hAnsi="方正仿宋_GBK" w:eastAsia="方正仿宋_GBK" w:cs="方正仿宋_GBK"/>
          <w:sz w:val="24"/>
          <w:highlight w:val="none"/>
          <w:lang w:val="zh-CN"/>
        </w:rPr>
      </w:pPr>
      <w:r>
        <w:rPr>
          <w:rFonts w:hint="eastAsia" w:ascii="方正仿宋_GBK" w:hAnsi="方正仿宋_GBK" w:eastAsia="方正仿宋_GBK" w:cs="方正仿宋_GBK"/>
          <w:sz w:val="24"/>
          <w:highlight w:val="none"/>
        </w:rPr>
        <w:t>1</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报价项目名称：《</w:t>
      </w:r>
      <w:r>
        <w:rPr>
          <w:rFonts w:hint="eastAsia" w:ascii="方正仿宋_GBK" w:hAnsi="方正仿宋_GBK" w:eastAsia="方正仿宋_GBK" w:cs="方正仿宋_GBK"/>
          <w:sz w:val="24"/>
          <w:highlight w:val="none"/>
          <w:lang w:val="en-US" w:eastAsia="zh-CN"/>
        </w:rPr>
        <w:t>阿依河景区非遗工坊改造及环境布置EPC工程</w:t>
      </w:r>
      <w:r>
        <w:rPr>
          <w:rFonts w:hint="eastAsia" w:ascii="方正仿宋_GBK" w:hAnsi="方正仿宋_GBK" w:eastAsia="方正仿宋_GBK" w:cs="方正仿宋_GBK"/>
          <w:sz w:val="24"/>
          <w:highlight w:val="none"/>
        </w:rPr>
        <w:t>》</w:t>
      </w:r>
    </w:p>
    <w:p w14:paraId="27BBE4B0">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2</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我方已认真阅读了全部比选文件及其相关文件，完全清楚理解其内容及规约，明白该项目为风险合作，同意接受文件的要求，均没有任何异议、质疑和误解之处。</w:t>
      </w:r>
    </w:p>
    <w:p w14:paraId="41676864">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3</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我方所提供的一切文件均已经过认真、严格的审核，其内容均为合法真实、准确有效且毫无遗漏和保留，绝无任何虚假、伪造和夸大的成份，若出现违背诚实信用和无如实告知之处，愿独自承担相应的法律责任。</w:t>
      </w:r>
    </w:p>
    <w:p w14:paraId="695D6AFF">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4</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报价有效期为自递交报价文件起至确定为中标人，若我方获成交资格，报价有效期则相应延长至项目最终验收合格并结算完毕之日，不论在任何时候，定将按贵方的要求在规定时间内保质保量的完成服务任务。</w:t>
      </w:r>
    </w:p>
    <w:p w14:paraId="59B9D306">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5</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完全服从和尊重评审结果和决定，同时清楚理解到仅凭投标报价或单一竞争优势并非是决定成交资格的唯一重要依据。</w:t>
      </w:r>
    </w:p>
    <w:p w14:paraId="548765EE">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6</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同意按报价文件要求认真履行成交人的义务，若我方行为不当而损害了贵方的合法权益，我方愿在任何时候无条件承担相应的缔约过失责任和经济赔偿。</w:t>
      </w:r>
    </w:p>
    <w:p w14:paraId="419518BC">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7</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我方在参与本次比选活动中，不曾以任何不正当的手段影响、串通、排斥有关当事人或谋取、施予非法利益，如有行为不当，愿独自承担此行为所造成的后果和法律责任。</w:t>
      </w:r>
    </w:p>
    <w:p w14:paraId="22B1245E">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8</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 xml:space="preserve">本承诺函效力及范围均涵盖整套报价文件和一切补充文件。 </w:t>
      </w:r>
    </w:p>
    <w:p w14:paraId="5F01BF23">
      <w:pPr>
        <w:spacing w:line="260" w:lineRule="exact"/>
        <w:ind w:firstLine="480" w:firstLineChars="200"/>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9</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该报价包括但不限于人工费、差旅费、调研费、专家费、数据采集、IP资源整合、信息搭建、数据维运、模块设计、商业测算、模型测试等费用。</w:t>
      </w:r>
    </w:p>
    <w:p w14:paraId="7D62A777">
      <w:pPr>
        <w:spacing w:line="260" w:lineRule="exact"/>
        <w:ind w:firstLine="480" w:firstLineChars="200"/>
        <w:jc w:val="left"/>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rPr>
        <w:t>10</w:t>
      </w:r>
      <w:r>
        <w:rPr>
          <w:rFonts w:hint="eastAsia" w:ascii="方正仿宋_GBK" w:hAnsi="方正仿宋_GBK" w:eastAsia="方正仿宋_GBK" w:cs="方正仿宋_GBK"/>
          <w:sz w:val="24"/>
          <w:highlight w:val="none"/>
          <w:lang w:val="en-US" w:eastAsia="zh-CN"/>
        </w:rPr>
        <w:t>.</w:t>
      </w:r>
      <w:r>
        <w:rPr>
          <w:rFonts w:hint="eastAsia" w:ascii="方正仿宋_GBK" w:hAnsi="方正仿宋_GBK" w:eastAsia="方正仿宋_GBK" w:cs="方正仿宋_GBK"/>
          <w:sz w:val="24"/>
          <w:highlight w:val="none"/>
        </w:rPr>
        <w:t>我方愿意以按照服务内容中的一切要求，提供本项目的所有服务，报价如下：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575"/>
        <w:gridCol w:w="2648"/>
        <w:gridCol w:w="2257"/>
        <w:gridCol w:w="1271"/>
      </w:tblGrid>
      <w:tr w14:paraId="3A791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1" w:type="dxa"/>
            <w:noWrap w:val="0"/>
            <w:vAlign w:val="center"/>
          </w:tcPr>
          <w:p w14:paraId="5ECF68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序号</w:t>
            </w:r>
          </w:p>
        </w:tc>
        <w:tc>
          <w:tcPr>
            <w:tcW w:w="1575" w:type="dxa"/>
            <w:noWrap w:val="0"/>
            <w:vAlign w:val="center"/>
          </w:tcPr>
          <w:p w14:paraId="6D7F6D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名称</w:t>
            </w:r>
          </w:p>
        </w:tc>
        <w:tc>
          <w:tcPr>
            <w:tcW w:w="2648" w:type="dxa"/>
            <w:noWrap w:val="0"/>
            <w:vAlign w:val="center"/>
          </w:tcPr>
          <w:p w14:paraId="777AF3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设计费限价/最高固定费率</w:t>
            </w:r>
          </w:p>
        </w:tc>
        <w:tc>
          <w:tcPr>
            <w:tcW w:w="2257" w:type="dxa"/>
            <w:noWrap w:val="0"/>
            <w:vAlign w:val="center"/>
          </w:tcPr>
          <w:p w14:paraId="270B76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报价</w:t>
            </w:r>
          </w:p>
        </w:tc>
        <w:tc>
          <w:tcPr>
            <w:tcW w:w="1271" w:type="dxa"/>
            <w:noWrap w:val="0"/>
            <w:vAlign w:val="center"/>
          </w:tcPr>
          <w:p w14:paraId="663B08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备注</w:t>
            </w:r>
          </w:p>
        </w:tc>
      </w:tr>
      <w:tr w14:paraId="3318D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2445B4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1</w:t>
            </w:r>
          </w:p>
        </w:tc>
        <w:tc>
          <w:tcPr>
            <w:tcW w:w="1575" w:type="dxa"/>
            <w:noWrap w:val="0"/>
            <w:vAlign w:val="center"/>
          </w:tcPr>
          <w:p w14:paraId="2454A3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装饰工程设计费</w:t>
            </w:r>
          </w:p>
        </w:tc>
        <w:tc>
          <w:tcPr>
            <w:tcW w:w="2648" w:type="dxa"/>
            <w:noWrap w:val="0"/>
            <w:vAlign w:val="center"/>
          </w:tcPr>
          <w:p w14:paraId="59E72E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rPr>
            </w:pPr>
            <w:r>
              <w:rPr>
                <w:rFonts w:hint="eastAsia" w:ascii="方正仿宋_GBK" w:hAnsi="方正仿宋_GBK" w:eastAsia="方正仿宋_GBK" w:cs="方正仿宋_GBK"/>
                <w:sz w:val="24"/>
                <w:highlight w:val="none"/>
                <w:vertAlign w:val="baseline"/>
                <w:lang w:val="en-US" w:eastAsia="zh-CN"/>
              </w:rPr>
              <w:t>50000元</w:t>
            </w:r>
          </w:p>
        </w:tc>
        <w:tc>
          <w:tcPr>
            <w:tcW w:w="2257" w:type="dxa"/>
            <w:noWrap w:val="0"/>
            <w:vAlign w:val="center"/>
          </w:tcPr>
          <w:p w14:paraId="5522A2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5A3D21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71636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14:paraId="60B99D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2</w:t>
            </w:r>
          </w:p>
        </w:tc>
        <w:tc>
          <w:tcPr>
            <w:tcW w:w="1575" w:type="dxa"/>
            <w:noWrap w:val="0"/>
            <w:vAlign w:val="center"/>
          </w:tcPr>
          <w:p w14:paraId="0ABB69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工程费</w:t>
            </w:r>
          </w:p>
        </w:tc>
        <w:tc>
          <w:tcPr>
            <w:tcW w:w="2648" w:type="dxa"/>
            <w:noWrap w:val="0"/>
            <w:vAlign w:val="center"/>
          </w:tcPr>
          <w:p w14:paraId="51C760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sz w:val="24"/>
                <w:highlight w:val="none"/>
                <w:vertAlign w:val="baseline"/>
                <w:lang w:val="en-US" w:eastAsia="zh-CN"/>
              </w:rPr>
            </w:pPr>
            <w:r>
              <w:rPr>
                <w:rFonts w:hint="eastAsia" w:ascii="方正仿宋_GBK" w:hAnsi="方正仿宋_GBK" w:eastAsia="方正仿宋_GBK" w:cs="方正仿宋_GBK"/>
                <w:sz w:val="24"/>
                <w:highlight w:val="none"/>
                <w:vertAlign w:val="baseline"/>
                <w:lang w:val="en-US" w:eastAsia="zh-CN"/>
              </w:rPr>
              <w:t>92%</w:t>
            </w:r>
          </w:p>
        </w:tc>
        <w:tc>
          <w:tcPr>
            <w:tcW w:w="2257" w:type="dxa"/>
            <w:noWrap w:val="0"/>
            <w:vAlign w:val="center"/>
          </w:tcPr>
          <w:p w14:paraId="1571BF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c>
          <w:tcPr>
            <w:tcW w:w="1271" w:type="dxa"/>
            <w:noWrap w:val="0"/>
            <w:vAlign w:val="center"/>
          </w:tcPr>
          <w:p w14:paraId="509CE2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sz w:val="24"/>
                <w:highlight w:val="none"/>
                <w:vertAlign w:val="baseline"/>
              </w:rPr>
            </w:pPr>
          </w:p>
        </w:tc>
      </w:tr>
      <w:tr w14:paraId="19B90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noWrap w:val="0"/>
            <w:vAlign w:val="top"/>
          </w:tcPr>
          <w:p w14:paraId="20A9F30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sz w:val="24"/>
                <w:highlight w:val="none"/>
                <w:vertAlign w:val="baseline"/>
              </w:rPr>
            </w:pPr>
            <w:r>
              <w:rPr>
                <w:rFonts w:hint="eastAsia" w:ascii="方正仿宋_GBK" w:hAnsi="方正仿宋_GBK" w:eastAsia="方正仿宋_GBK" w:cs="方正仿宋_GBK"/>
                <w:sz w:val="24"/>
                <w:highlight w:val="none"/>
                <w:vertAlign w:val="baseline"/>
              </w:rPr>
              <w:t>注：</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报价一栏填报时</w:t>
            </w:r>
            <w:r>
              <w:rPr>
                <w:rFonts w:hint="eastAsia" w:ascii="方正仿宋_GBK" w:hAnsi="方正仿宋_GBK" w:eastAsia="方正仿宋_GBK" w:cs="方正仿宋_GBK"/>
                <w:sz w:val="24"/>
                <w:highlight w:val="none"/>
                <w:vertAlign w:val="baseline"/>
                <w:lang w:eastAsia="zh-CN"/>
              </w:rPr>
              <w:t>”</w:t>
            </w:r>
            <w:r>
              <w:rPr>
                <w:rFonts w:hint="eastAsia" w:ascii="方正仿宋_GBK" w:hAnsi="方正仿宋_GBK" w:eastAsia="方正仿宋_GBK" w:cs="方正仿宋_GBK"/>
                <w:sz w:val="24"/>
                <w:highlight w:val="none"/>
                <w:vertAlign w:val="baseline"/>
                <w:lang w:val="en-US" w:eastAsia="zh-CN"/>
              </w:rPr>
              <w:t xml:space="preserve">，应参照“设计费限价/最高固定费率”一栏格式填报 </w:t>
            </w:r>
            <w:r>
              <w:rPr>
                <w:rFonts w:hint="eastAsia" w:ascii="方正仿宋_GBK" w:hAnsi="方正仿宋_GBK" w:eastAsia="方正仿宋_GBK" w:cs="方正仿宋_GBK"/>
                <w:sz w:val="24"/>
                <w:highlight w:val="none"/>
                <w:vertAlign w:val="baseline"/>
              </w:rPr>
              <w:t>。</w:t>
            </w:r>
          </w:p>
        </w:tc>
      </w:tr>
    </w:tbl>
    <w:p w14:paraId="31D82720">
      <w:pPr>
        <w:spacing w:line="260" w:lineRule="exact"/>
        <w:ind w:firstLine="480" w:firstLineChars="200"/>
        <w:jc w:val="left"/>
        <w:rPr>
          <w:rFonts w:hint="eastAsia" w:ascii="方正仿宋_GBK" w:hAnsi="方正仿宋_GBK" w:eastAsia="方正仿宋_GBK" w:cs="方正仿宋_GBK"/>
          <w:sz w:val="24"/>
          <w:highlight w:val="none"/>
        </w:rPr>
      </w:pPr>
    </w:p>
    <w:p w14:paraId="593D01C0">
      <w:pPr>
        <w:pStyle w:val="12"/>
        <w:rPr>
          <w:rFonts w:hint="eastAsia" w:ascii="方正仿宋_GBK" w:hAnsi="方正仿宋_GBK" w:eastAsia="方正仿宋_GBK" w:cs="方正仿宋_GBK"/>
          <w:sz w:val="24"/>
          <w:highlight w:val="none"/>
        </w:rPr>
      </w:pPr>
    </w:p>
    <w:p w14:paraId="27A524B1"/>
    <w:p w14:paraId="23281701">
      <w:pPr>
        <w:spacing w:line="260" w:lineRule="exact"/>
        <w:ind w:firstLine="480" w:firstLineChars="200"/>
        <w:jc w:val="left"/>
        <w:rPr>
          <w:highlight w:val="none"/>
        </w:rPr>
      </w:pPr>
      <w:r>
        <w:rPr>
          <w:rFonts w:hint="eastAsia" w:ascii="方正仿宋_GBK" w:hAnsi="方正仿宋_GBK" w:eastAsia="方正仿宋_GBK" w:cs="方正仿宋_GBK"/>
          <w:sz w:val="24"/>
          <w:highlight w:val="none"/>
        </w:rPr>
        <w:t>公司承诺：待甲方通过项目投资决策后，甲方与乙方签订合作协议，其</w:t>
      </w:r>
      <w:r>
        <w:rPr>
          <w:rFonts w:hint="eastAsia" w:ascii="方正仿宋_GBK" w:hAnsi="方正仿宋_GBK" w:eastAsia="方正仿宋_GBK" w:cs="方正仿宋_GBK"/>
          <w:sz w:val="24"/>
          <w:highlight w:val="none"/>
          <w:lang w:val="en-US" w:eastAsia="zh-CN"/>
        </w:rPr>
        <w:t>相关</w:t>
      </w:r>
      <w:r>
        <w:rPr>
          <w:rFonts w:hint="eastAsia" w:ascii="方正仿宋_GBK" w:hAnsi="方正仿宋_GBK" w:eastAsia="方正仿宋_GBK" w:cs="方正仿宋_GBK"/>
          <w:sz w:val="24"/>
          <w:highlight w:val="none"/>
        </w:rPr>
        <w:t>阶段</w:t>
      </w:r>
      <w:r>
        <w:rPr>
          <w:rFonts w:hint="eastAsia" w:ascii="方正仿宋_GBK" w:hAnsi="方正仿宋_GBK" w:eastAsia="方正仿宋_GBK" w:cs="方正仿宋_GBK"/>
          <w:sz w:val="24"/>
          <w:highlight w:val="none"/>
          <w:lang w:val="en-US" w:eastAsia="zh-CN"/>
        </w:rPr>
        <w:t>工作</w:t>
      </w:r>
      <w:r>
        <w:rPr>
          <w:rFonts w:hint="eastAsia" w:ascii="方正仿宋_GBK" w:hAnsi="方正仿宋_GBK" w:eastAsia="方正仿宋_GBK" w:cs="方正仿宋_GBK"/>
          <w:sz w:val="24"/>
          <w:highlight w:val="none"/>
        </w:rPr>
        <w:t>的启动，以甲方正式通知为准</w:t>
      </w:r>
      <w:r>
        <w:rPr>
          <w:rFonts w:hint="eastAsia" w:ascii="方正仿宋_GBK" w:hAnsi="方正仿宋_GBK" w:eastAsia="方正仿宋_GBK" w:cs="方正仿宋_GBK"/>
          <w:sz w:val="24"/>
          <w:highlight w:val="none"/>
          <w:lang w:eastAsia="zh-CN"/>
        </w:rPr>
        <w:t>。</w:t>
      </w:r>
      <w:r>
        <w:rPr>
          <w:rFonts w:hint="eastAsia" w:ascii="方正仿宋_GBK" w:hAnsi="方正仿宋_GBK" w:eastAsia="方正仿宋_GBK" w:cs="方正仿宋_GBK"/>
          <w:sz w:val="24"/>
          <w:highlight w:val="none"/>
          <w:lang w:val="en-US" w:eastAsia="zh-CN"/>
        </w:rPr>
        <w:t>各阶段工作完成后，按照合同约定的结算原则结算；</w:t>
      </w:r>
      <w:r>
        <w:rPr>
          <w:rFonts w:hint="eastAsia" w:ascii="方正仿宋_GBK" w:hAnsi="方正仿宋_GBK" w:eastAsia="方正仿宋_GBK" w:cs="方正仿宋_GBK"/>
          <w:sz w:val="24"/>
          <w:highlight w:val="none"/>
        </w:rPr>
        <w:t>若贵司未启动投资决策或未通过投资决策，则比选结果作废，终止合作。</w:t>
      </w:r>
    </w:p>
    <w:p w14:paraId="5FF35025">
      <w:pPr>
        <w:spacing w:line="260" w:lineRule="exact"/>
        <w:jc w:val="left"/>
        <w:rPr>
          <w:rFonts w:hint="eastAsia" w:ascii="方正仿宋_GBK" w:hAnsi="方正仿宋_GBK" w:eastAsia="方正仿宋_GBK" w:cs="方正仿宋_GBK"/>
          <w:sz w:val="24"/>
          <w:highlight w:val="none"/>
        </w:rPr>
      </w:pPr>
    </w:p>
    <w:p w14:paraId="71469B9E">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报价人名称</w:t>
      </w:r>
      <w:r>
        <w:rPr>
          <w:rFonts w:hint="eastAsia" w:ascii="方正仿宋_GBK" w:hAnsi="方正仿宋_GBK" w:eastAsia="方正仿宋_GBK" w:cs="方正仿宋_GBK"/>
          <w:sz w:val="24"/>
          <w:highlight w:val="none"/>
          <w:u w:val="single"/>
        </w:rPr>
        <w:t>：</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single"/>
          <w:lang w:val="en-US" w:eastAsia="zh-CN"/>
        </w:rPr>
        <w:t xml:space="preserve">   </w:t>
      </w:r>
      <w:r>
        <w:rPr>
          <w:rFonts w:hint="eastAsia" w:ascii="方正仿宋_GBK" w:hAnsi="方正仿宋_GBK" w:eastAsia="方正仿宋_GBK" w:cs="方正仿宋_GBK"/>
          <w:sz w:val="24"/>
          <w:highlight w:val="none"/>
          <w:u w:val="single"/>
        </w:rPr>
        <w:t xml:space="preserve">        （加盖公章）。</w:t>
      </w:r>
    </w:p>
    <w:p w14:paraId="58498681">
      <w:pPr>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负责人（代理人）：</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rPr>
        <w:t>（签名或签章） 联系电话：</w:t>
      </w:r>
      <w:r>
        <w:rPr>
          <w:rFonts w:hint="eastAsia" w:ascii="方正仿宋_GBK" w:hAnsi="方正仿宋_GBK" w:eastAsia="方正仿宋_GBK" w:cs="方正仿宋_GBK"/>
          <w:sz w:val="24"/>
          <w:highlight w:val="none"/>
          <w:u w:val="single"/>
        </w:rPr>
        <w:t xml:space="preserve">                     </w:t>
      </w:r>
      <w:r>
        <w:rPr>
          <w:rFonts w:hint="eastAsia" w:ascii="方正仿宋_GBK" w:hAnsi="方正仿宋_GBK" w:eastAsia="方正仿宋_GBK" w:cs="方正仿宋_GBK"/>
          <w:sz w:val="24"/>
          <w:highlight w:val="none"/>
          <w:u w:val="dotted"/>
        </w:rPr>
        <w:t xml:space="preserve">      </w:t>
      </w:r>
      <w:r>
        <w:rPr>
          <w:rFonts w:hint="eastAsia" w:ascii="方正仿宋_GBK" w:hAnsi="方正仿宋_GBK" w:eastAsia="方正仿宋_GBK" w:cs="方正仿宋_GBK"/>
          <w:sz w:val="24"/>
          <w:highlight w:val="none"/>
        </w:rPr>
        <w:t xml:space="preserve">  </w:t>
      </w:r>
    </w:p>
    <w:p w14:paraId="2AD70B49">
      <w:pPr>
        <w:tabs>
          <w:tab w:val="left" w:pos="-378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日期：202</w:t>
      </w:r>
      <w:r>
        <w:rPr>
          <w:rFonts w:hint="eastAsia" w:ascii="方正仿宋_GBK" w:hAnsi="方正仿宋_GBK" w:eastAsia="方正仿宋_GBK" w:cs="方正仿宋_GBK"/>
          <w:sz w:val="24"/>
          <w:highlight w:val="none"/>
          <w:lang w:val="en-US" w:eastAsia="zh-CN"/>
        </w:rPr>
        <w:t>5</w:t>
      </w:r>
      <w:r>
        <w:rPr>
          <w:rFonts w:hint="eastAsia" w:ascii="方正仿宋_GBK" w:hAnsi="方正仿宋_GBK" w:eastAsia="方正仿宋_GBK" w:cs="方正仿宋_GBK"/>
          <w:sz w:val="24"/>
          <w:highlight w:val="none"/>
        </w:rPr>
        <w:t>年    月    日</w:t>
      </w:r>
    </w:p>
    <w:p w14:paraId="3C075F51">
      <w:pPr>
        <w:tabs>
          <w:tab w:val="left" w:pos="420"/>
        </w:tabs>
        <w:spacing w:line="260" w:lineRule="exact"/>
        <w:jc w:val="left"/>
        <w:rPr>
          <w:rFonts w:ascii="方正仿宋_GBK" w:hAnsi="方正仿宋_GBK" w:eastAsia="方正仿宋_GBK" w:cs="方正仿宋_GBK"/>
          <w:sz w:val="24"/>
          <w:highlight w:val="none"/>
        </w:rPr>
      </w:pPr>
      <w:r>
        <w:rPr>
          <w:rFonts w:hint="eastAsia" w:ascii="方正仿宋_GBK" w:hAnsi="方正仿宋_GBK" w:eastAsia="方正仿宋_GBK" w:cs="方正仿宋_GBK"/>
          <w:sz w:val="24"/>
          <w:highlight w:val="none"/>
        </w:rPr>
        <w:t>说明：1、不具备法人资格的报价人，须与设立主管的法人机构同时加盖公章。</w:t>
      </w:r>
    </w:p>
    <w:p w14:paraId="55A6473C">
      <w:pPr>
        <w:numPr>
          <w:ilvl w:val="0"/>
          <w:numId w:val="0"/>
        </w:numPr>
        <w:tabs>
          <w:tab w:val="left" w:pos="420"/>
        </w:tabs>
        <w:spacing w:line="260" w:lineRule="exact"/>
        <w:ind w:firstLine="720" w:firstLineChars="300"/>
        <w:jc w:val="left"/>
        <w:rPr>
          <w:highlight w:val="none"/>
        </w:rPr>
      </w:pPr>
      <w:r>
        <w:rPr>
          <w:rFonts w:hint="eastAsia" w:ascii="方正仿宋_GBK" w:hAnsi="方正仿宋_GBK" w:eastAsia="方正仿宋_GBK" w:cs="方正仿宋_GBK"/>
          <w:sz w:val="24"/>
          <w:highlight w:val="none"/>
          <w:lang w:val="en-US" w:eastAsia="zh-CN"/>
        </w:rPr>
        <w:t>2、</w:t>
      </w:r>
      <w:r>
        <w:rPr>
          <w:rFonts w:hint="eastAsia" w:ascii="方正仿宋_GBK" w:hAnsi="方正仿宋_GBK" w:eastAsia="方正仿宋_GBK" w:cs="方正仿宋_GBK"/>
          <w:sz w:val="24"/>
          <w:highlight w:val="none"/>
        </w:rPr>
        <w:t>本承诺函内容若擅自删改，按废标处理。</w:t>
      </w:r>
    </w:p>
    <w:p w14:paraId="46BEF30F">
      <w:pPr>
        <w:rPr>
          <w:highlight w:val="none"/>
        </w:rPr>
      </w:pPr>
    </w:p>
    <w:p w14:paraId="3C38C2FE">
      <w:pPr>
        <w:rPr>
          <w:highlight w:val="none"/>
        </w:rPr>
      </w:pPr>
      <w:r>
        <w:rPr>
          <w:highlight w:val="none"/>
        </w:rPr>
        <w:br w:type="page"/>
      </w:r>
    </w:p>
    <w:p w14:paraId="64D180D1"/>
    <w:p w14:paraId="7B6D585A">
      <w:pPr>
        <w:tabs>
          <w:tab w:val="left" w:pos="6300"/>
        </w:tabs>
        <w:snapToGrid w:val="0"/>
        <w:spacing w:line="312" w:lineRule="auto"/>
        <w:jc w:val="center"/>
        <w:outlineLvl w:val="1"/>
        <w:rPr>
          <w:rFonts w:ascii="宋体" w:hAnsi="宋体" w:cs="宋体"/>
          <w:bCs/>
          <w:sz w:val="24"/>
          <w:highlight w:val="none"/>
        </w:rPr>
      </w:pPr>
      <w:r>
        <w:rPr>
          <w:rFonts w:hint="eastAsia" w:ascii="宋体" w:hAnsi="宋体" w:cs="宋体"/>
          <w:bCs/>
          <w:sz w:val="24"/>
          <w:highlight w:val="none"/>
        </w:rPr>
        <w:t>（二）法定代表人身份证明或附有法定代表人身份证明的授权委托书</w:t>
      </w:r>
    </w:p>
    <w:p w14:paraId="6B216867">
      <w:pPr>
        <w:spacing w:line="500" w:lineRule="exact"/>
        <w:jc w:val="center"/>
        <w:rPr>
          <w:rFonts w:ascii="方正小标宋_GBK" w:hAnsi="方正小标宋_GBK" w:eastAsia="方正小标宋_GBK" w:cs="方正小标宋_GBK"/>
          <w:b/>
          <w:bCs/>
          <w:sz w:val="32"/>
          <w:szCs w:val="32"/>
          <w:highlight w:val="none"/>
        </w:rPr>
      </w:pPr>
    </w:p>
    <w:p w14:paraId="21BE9D22">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授权委托书</w:t>
      </w:r>
    </w:p>
    <w:p w14:paraId="0413049F">
      <w:pPr>
        <w:spacing w:line="500" w:lineRule="exact"/>
        <w:jc w:val="center"/>
        <w:rPr>
          <w:rFonts w:ascii="等线 Light" w:hAnsi="等线 Light" w:eastAsia="等线 Light"/>
          <w:b/>
          <w:bCs/>
          <w:sz w:val="32"/>
          <w:szCs w:val="32"/>
          <w:highlight w:val="none"/>
        </w:rPr>
      </w:pPr>
    </w:p>
    <w:p w14:paraId="35CF1D5A">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本人</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（参选人名称）的法定代表人（或单位负责人），现委托</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（姓名）为我方代理人。代理人根据授权，以我方名义签署、澄清、说明、补正、递交、撤回、修改</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（项目名称）参选文件、签订合同和处理有关事宜，其法律后果由我方承担。</w:t>
      </w:r>
    </w:p>
    <w:p w14:paraId="00018521">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委托期限：                   。</w:t>
      </w:r>
    </w:p>
    <w:p w14:paraId="4075E301">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代理人无转委托权。</w:t>
      </w:r>
    </w:p>
    <w:p w14:paraId="676F9776">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（全称、盖章）</w:t>
      </w:r>
    </w:p>
    <w:p w14:paraId="4F81FBFA">
      <w:pPr>
        <w:widowControl/>
        <w:spacing w:line="560" w:lineRule="exact"/>
        <w:ind w:firstLine="420" w:firstLineChars="200"/>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参选人法定代表人（或单位负责人）：　　　   　　　　 （盖章、签字）</w:t>
      </w:r>
    </w:p>
    <w:p w14:paraId="6225805E">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10B8D8E0">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委托代理人：                                          （签字）</w:t>
      </w:r>
    </w:p>
    <w:p w14:paraId="04C6DD8F">
      <w:pPr>
        <w:spacing w:line="560" w:lineRule="exact"/>
        <w:ind w:firstLine="420" w:firstLineChars="200"/>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身份证号码：                 </w:t>
      </w:r>
    </w:p>
    <w:p w14:paraId="1C5ECCA8">
      <w:pPr>
        <w:spacing w:line="560" w:lineRule="exact"/>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szCs w:val="21"/>
          <w:highlight w:val="none"/>
        </w:rPr>
        <w:t xml:space="preserve">                                                                 年    月    日</w:t>
      </w:r>
    </w:p>
    <w:p w14:paraId="5F18F710">
      <w:pPr>
        <w:spacing w:line="360" w:lineRule="auto"/>
        <w:jc w:val="center"/>
        <w:rPr>
          <w:rFonts w:ascii="方正仿宋_GBK" w:hAnsi="方正仿宋_GBK" w:eastAsia="方正仿宋_GBK" w:cs="方正仿宋_GBK"/>
          <w:spacing w:val="20"/>
          <w:sz w:val="24"/>
          <w:highlight w:val="none"/>
        </w:rPr>
      </w:pPr>
      <w:r>
        <w:rPr>
          <w:rFonts w:hint="eastAsia" w:ascii="方正仿宋_GBK" w:hAnsi="方正仿宋_GBK" w:eastAsia="方正仿宋_GBK" w:cs="方正仿宋_GBK"/>
          <w:highlight w:val="none"/>
        </w:rPr>
        <mc:AlternateContent>
          <mc:Choice Requires="wps">
            <w:drawing>
              <wp:anchor distT="0" distB="0" distL="114300" distR="114300" simplePos="0" relativeHeight="251661312" behindDoc="0" locked="0" layoutInCell="1" allowOverlap="1">
                <wp:simplePos x="0" y="0"/>
                <wp:positionH relativeFrom="column">
                  <wp:posOffset>3312160</wp:posOffset>
                </wp:positionH>
                <wp:positionV relativeFrom="paragraph">
                  <wp:posOffset>291465</wp:posOffset>
                </wp:positionV>
                <wp:extent cx="2171700" cy="1410335"/>
                <wp:effectExtent l="4445" t="4445" r="14605" b="1397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171700" cy="1410335"/>
                        </a:xfrm>
                        <a:prstGeom prst="rect">
                          <a:avLst/>
                        </a:prstGeom>
                        <a:solidFill>
                          <a:srgbClr val="FFFFFF"/>
                        </a:solidFill>
                        <a:ln w="9525">
                          <a:solidFill>
                            <a:srgbClr val="000000"/>
                          </a:solidFill>
                          <a:prstDash val="sysDot"/>
                          <a:miter lim="800000"/>
                        </a:ln>
                        <a:effectLst/>
                      </wps:spPr>
                      <wps:txbx>
                        <w:txbxContent>
                          <w:p w14:paraId="211512B1">
                            <w:r>
                              <w:rPr>
                                <w:rFonts w:hint="eastAsia"/>
                              </w:rPr>
                              <w:t>委托代理人身份证复印件（双面）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0.8pt;margin-top:22.95pt;height:111.05pt;width:171pt;z-index:251661312;mso-width-relative:page;mso-height-relative:page;" fillcolor="#FFFFFF" filled="t" stroked="t" coordsize="21600,21600" o:gfxdata="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5T08NUAAAAKAQAADwAAAAAAAAAB&#10;ACAAAAAiAAAAZHJzL2Rvd25yZXYueG1sUEsBAhQAFAAAAAgAh07iQNLlH2JMAgAApQQAAA4AAAAA&#10;AAAAAQAgAAAAJAEAAGRycy9lMm9Eb2MueG1sUEsFBgAAAAAGAAYAWQEAAOIFAAAAAA==&#10;">
                <v:fill on="t" focussize="0,0"/>
                <v:stroke color="#000000" miterlimit="8" joinstyle="miter" dashstyle="1 1"/>
                <v:imagedata o:title=""/>
                <o:lock v:ext="edit" aspectratio="f"/>
                <v:textbox>
                  <w:txbxContent>
                    <w:p w14:paraId="211512B1">
                      <w:r>
                        <w:rPr>
                          <w:rFonts w:hint="eastAsia"/>
                        </w:rPr>
                        <w:t>委托代理人身份证复印件（双面）</w:t>
                      </w:r>
                    </w:p>
                  </w:txbxContent>
                </v:textbox>
              </v:rect>
            </w:pict>
          </mc:Fallback>
        </mc:AlternateContent>
      </w:r>
      <w:r>
        <w:rPr>
          <w:rFonts w:hint="eastAsia" w:ascii="方正仿宋_GBK" w:hAnsi="方正仿宋_GBK" w:eastAsia="方正仿宋_GBK" w:cs="方正仿宋_GBK"/>
          <w:highlight w:val="none"/>
        </w:rPr>
        <mc:AlternateContent>
          <mc:Choice Requires="wps">
            <w:drawing>
              <wp:anchor distT="0" distB="0" distL="114300" distR="114300" simplePos="0" relativeHeight="251660288" behindDoc="0" locked="0" layoutInCell="1" allowOverlap="1">
                <wp:simplePos x="0" y="0"/>
                <wp:positionH relativeFrom="column">
                  <wp:posOffset>-123825</wp:posOffset>
                </wp:positionH>
                <wp:positionV relativeFrom="paragraph">
                  <wp:posOffset>291465</wp:posOffset>
                </wp:positionV>
                <wp:extent cx="2102485" cy="1410335"/>
                <wp:effectExtent l="4445" t="4445" r="7620" b="1397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102485" cy="1410335"/>
                        </a:xfrm>
                        <a:prstGeom prst="rect">
                          <a:avLst/>
                        </a:prstGeom>
                        <a:solidFill>
                          <a:srgbClr val="FFFFFF"/>
                        </a:solidFill>
                        <a:ln w="9525">
                          <a:solidFill>
                            <a:srgbClr val="000000"/>
                          </a:solidFill>
                          <a:prstDash val="sysDot"/>
                          <a:miter lim="800000"/>
                        </a:ln>
                        <a:effectLst/>
                      </wps:spPr>
                      <wps:txbx>
                        <w:txbxContent>
                          <w:p w14:paraId="5D2827DC">
                            <w:r>
                              <w:rPr>
                                <w:rFonts w:hint="eastAsia"/>
                              </w:rPr>
                              <w:t>法定代表人身份证复印件（双面）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75pt;margin-top:22.95pt;height:111.05pt;width:165.55pt;z-index:251660288;mso-width-relative:page;mso-height-relative:page;" fillcolor="#FFFFFF" filled="t" stroked="t" coordsize="21600,21600" o:gfxdata="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j4iJw1gAAAAoBAAAPAAAAAAAA&#10;AAEAIAAAACIAAABkcnMvZG93bnJldi54bWxQSwECFAAUAAAACACHTuJAcXLBTE0CAAClBAAADgAA&#10;AAAAAAABACAAAAAlAQAAZHJzL2Uyb0RvYy54bWxQSwUGAAAAAAYABgBZAQAA5AUAAAAA&#10;">
                <v:fill on="t" focussize="0,0"/>
                <v:stroke color="#000000" miterlimit="8" joinstyle="miter" dashstyle="1 1"/>
                <v:imagedata o:title=""/>
                <o:lock v:ext="edit" aspectratio="f"/>
                <v:textbox>
                  <w:txbxContent>
                    <w:p w14:paraId="5D2827DC">
                      <w:r>
                        <w:rPr>
                          <w:rFonts w:hint="eastAsia"/>
                        </w:rPr>
                        <w:t>法定代表人身份证复印件（双面）</w:t>
                      </w:r>
                    </w:p>
                  </w:txbxContent>
                </v:textbox>
              </v:rect>
            </w:pict>
          </mc:Fallback>
        </mc:AlternateContent>
      </w:r>
    </w:p>
    <w:p w14:paraId="2D20C61C">
      <w:pPr>
        <w:spacing w:line="360" w:lineRule="auto"/>
        <w:jc w:val="center"/>
        <w:rPr>
          <w:rFonts w:ascii="方正仿宋_GBK" w:hAnsi="方正仿宋_GBK" w:eastAsia="方正仿宋_GBK" w:cs="方正仿宋_GBK"/>
          <w:spacing w:val="20"/>
          <w:sz w:val="24"/>
          <w:highlight w:val="none"/>
        </w:rPr>
      </w:pPr>
    </w:p>
    <w:p w14:paraId="053CDE48">
      <w:pPr>
        <w:pStyle w:val="4"/>
        <w:spacing w:line="560" w:lineRule="exact"/>
        <w:rPr>
          <w:rFonts w:ascii="方正仿宋_GBK" w:hAnsi="方正仿宋_GBK" w:eastAsia="方正仿宋_GBK" w:cs="方正仿宋_GBK"/>
          <w:szCs w:val="22"/>
          <w:highlight w:val="none"/>
        </w:rPr>
      </w:pPr>
    </w:p>
    <w:p w14:paraId="185A6E3E">
      <w:pPr>
        <w:rPr>
          <w:rFonts w:ascii="方正仿宋_GBK" w:hAnsi="方正仿宋_GBK" w:eastAsia="方正仿宋_GBK" w:cs="方正仿宋_GBK"/>
          <w:highlight w:val="none"/>
        </w:rPr>
      </w:pPr>
    </w:p>
    <w:p w14:paraId="4B108683">
      <w:pPr>
        <w:spacing w:line="360" w:lineRule="auto"/>
        <w:jc w:val="left"/>
        <w:rPr>
          <w:rFonts w:ascii="方正仿宋_GBK" w:hAnsi="方正仿宋_GBK" w:eastAsia="方正仿宋_GBK" w:cs="方正仿宋_GBK"/>
          <w:szCs w:val="21"/>
          <w:highlight w:val="none"/>
        </w:rPr>
      </w:pPr>
    </w:p>
    <w:p w14:paraId="52A1233D">
      <w:pPr>
        <w:spacing w:line="360" w:lineRule="auto"/>
        <w:jc w:val="left"/>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备注：</w:t>
      </w:r>
    </w:p>
    <w:p w14:paraId="0E889BDD">
      <w:pPr>
        <w:numPr>
          <w:ilvl w:val="0"/>
          <w:numId w:val="2"/>
        </w:numPr>
        <w:spacing w:line="320" w:lineRule="exact"/>
        <w:ind w:firstLine="420" w:firstLineChars="200"/>
        <w:jc w:val="left"/>
        <w:rPr>
          <w:highlight w:val="none"/>
        </w:rPr>
      </w:pPr>
      <w:r>
        <w:rPr>
          <w:rFonts w:hint="eastAsia" w:ascii="方正仿宋_GBK" w:hAnsi="方正仿宋_GBK" w:eastAsia="方正仿宋_GBK" w:cs="方正仿宋_GBK"/>
          <w:szCs w:val="21"/>
          <w:highlight w:val="none"/>
        </w:rPr>
        <w:t>法定代表人参加比选活动并签署文件的不需要授权委托书，只需提供法定代表人身份证明；非法定代表人参加比选活动及签署文件的除提供法定代表人身份证明外还须提供授权委托书。</w:t>
      </w:r>
    </w:p>
    <w:p w14:paraId="38CC5BAE">
      <w:pPr>
        <w:spacing w:line="500" w:lineRule="exact"/>
        <w:jc w:val="center"/>
        <w:rPr>
          <w:rFonts w:ascii="方正小标宋_GBK" w:hAnsi="方正小标宋_GBK" w:eastAsia="方正小标宋_GBK" w:cs="方正小标宋_GBK"/>
          <w:b/>
          <w:bCs/>
          <w:sz w:val="32"/>
          <w:szCs w:val="32"/>
          <w:highlight w:val="none"/>
        </w:rPr>
      </w:pPr>
    </w:p>
    <w:p w14:paraId="0B915CE1">
      <w:pPr>
        <w:pStyle w:val="12"/>
      </w:pPr>
    </w:p>
    <w:p w14:paraId="4EF70D03">
      <w:pPr>
        <w:spacing w:line="500" w:lineRule="exact"/>
        <w:jc w:val="center"/>
        <w:outlineLvl w:val="1"/>
        <w:rPr>
          <w:rFonts w:ascii="方正小标宋_GBK" w:hAnsi="方正小标宋_GBK" w:eastAsia="方正小标宋_GBK" w:cs="方正小标宋_GBK"/>
          <w:b/>
          <w:bCs/>
          <w:sz w:val="32"/>
          <w:szCs w:val="32"/>
          <w:highlight w:val="none"/>
        </w:rPr>
      </w:pPr>
      <w:r>
        <w:rPr>
          <w:rFonts w:hint="eastAsia" w:ascii="方正小标宋_GBK" w:hAnsi="方正小标宋_GBK" w:eastAsia="方正小标宋_GBK" w:cs="方正小标宋_GBK"/>
          <w:b/>
          <w:bCs/>
          <w:sz w:val="32"/>
          <w:szCs w:val="32"/>
          <w:highlight w:val="none"/>
        </w:rPr>
        <w:t>法定代表人（或单位负责人）身份证明</w:t>
      </w:r>
    </w:p>
    <w:p w14:paraId="2BDE2061">
      <w:pPr>
        <w:spacing w:line="560" w:lineRule="exact"/>
        <w:ind w:firstLine="420" w:firstLineChars="200"/>
        <w:jc w:val="center"/>
        <w:rPr>
          <w:rFonts w:ascii="等线 Light" w:hAnsi="等线 Light" w:eastAsia="等线 Light"/>
          <w:szCs w:val="28"/>
          <w:highlight w:val="none"/>
        </w:rPr>
      </w:pPr>
    </w:p>
    <w:p w14:paraId="3BCFBE34">
      <w:pPr>
        <w:spacing w:line="560" w:lineRule="exact"/>
        <w:ind w:firstLine="420" w:firstLineChars="200"/>
        <w:rPr>
          <w:rFonts w:ascii="等线 Light" w:hAnsi="等线 Light" w:eastAsia="等线 Light"/>
          <w:szCs w:val="28"/>
          <w:highlight w:val="none"/>
        </w:rPr>
      </w:pPr>
    </w:p>
    <w:p w14:paraId="4B7979E1">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参选人名称：</w:t>
      </w:r>
      <w:r>
        <w:rPr>
          <w:rFonts w:hint="eastAsia" w:ascii="方正仿宋_GBK" w:hAnsi="方正仿宋_GBK" w:eastAsia="方正仿宋_GBK" w:cs="方正仿宋_GBK"/>
          <w:szCs w:val="21"/>
          <w:highlight w:val="none"/>
          <w:u w:val="single"/>
        </w:rPr>
        <w:t xml:space="preserve">                        </w:t>
      </w:r>
    </w:p>
    <w:p w14:paraId="70A50A8A">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单位性质：</w:t>
      </w:r>
      <w:r>
        <w:rPr>
          <w:rFonts w:hint="eastAsia" w:ascii="方正仿宋_GBK" w:hAnsi="方正仿宋_GBK" w:eastAsia="方正仿宋_GBK" w:cs="方正仿宋_GBK"/>
          <w:szCs w:val="21"/>
          <w:highlight w:val="none"/>
          <w:u w:val="single"/>
        </w:rPr>
        <w:t xml:space="preserve">                            </w:t>
      </w:r>
    </w:p>
    <w:p w14:paraId="13119D8B">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地址：</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w:t>
      </w:r>
    </w:p>
    <w:p w14:paraId="481191F4">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成立时间：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 xml:space="preserve"> 年</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月</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日</w:t>
      </w:r>
    </w:p>
    <w:p w14:paraId="1B0802D4">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经营期限：</w:t>
      </w:r>
      <w:r>
        <w:rPr>
          <w:rFonts w:hint="eastAsia" w:ascii="方正仿宋_GBK" w:hAnsi="方正仿宋_GBK" w:eastAsia="方正仿宋_GBK" w:cs="方正仿宋_GBK"/>
          <w:szCs w:val="21"/>
          <w:highlight w:val="none"/>
          <w:u w:val="single"/>
        </w:rPr>
        <w:t xml:space="preserve">                            </w:t>
      </w:r>
    </w:p>
    <w:p w14:paraId="54AEE1F5">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姓名：</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性别：</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职务：</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，系</w:t>
      </w:r>
      <w:r>
        <w:rPr>
          <w:rFonts w:hint="eastAsia" w:ascii="方正仿宋_GBK" w:hAnsi="方正仿宋_GBK" w:eastAsia="方正仿宋_GBK" w:cs="方正仿宋_GBK"/>
          <w:szCs w:val="21"/>
          <w:highlight w:val="none"/>
          <w:u w:val="single"/>
        </w:rPr>
        <w:t xml:space="preserve">                   </w:t>
      </w:r>
      <w:r>
        <w:rPr>
          <w:rFonts w:hint="eastAsia" w:ascii="方正仿宋_GBK" w:hAnsi="方正仿宋_GBK" w:eastAsia="方正仿宋_GBK" w:cs="方正仿宋_GBK"/>
          <w:szCs w:val="21"/>
          <w:highlight w:val="none"/>
        </w:rPr>
        <w:t>（参选单位名称）的法定代表人（或单位负责人）。</w:t>
      </w:r>
    </w:p>
    <w:p w14:paraId="632F82C3">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特此证明。</w:t>
      </w:r>
    </w:p>
    <w:p w14:paraId="52316D77">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参选人：     （单位盖章）</w:t>
      </w:r>
    </w:p>
    <w:p w14:paraId="2F756486">
      <w:pPr>
        <w:adjustRightInd w:val="0"/>
        <w:snapToGrid w:val="0"/>
        <w:spacing w:line="560" w:lineRule="exact"/>
        <w:ind w:firstLine="478" w:firstLineChars="228"/>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 xml:space="preserve">                                   年    月    日</w:t>
      </w:r>
    </w:p>
    <w:p w14:paraId="7E65C4A0">
      <w:pPr>
        <w:adjustRightInd w:val="0"/>
        <w:snapToGrid w:val="0"/>
        <w:spacing w:line="560" w:lineRule="exact"/>
        <w:ind w:firstLine="478" w:firstLineChars="228"/>
        <w:rPr>
          <w:rFonts w:ascii="方正仿宋_GBK" w:hAnsi="方正仿宋_GBK" w:eastAsia="方正仿宋_GBK" w:cs="方正仿宋_GBK"/>
          <w:szCs w:val="21"/>
          <w:highlight w:val="none"/>
        </w:rPr>
      </w:pPr>
    </w:p>
    <w:tbl>
      <w:tblPr>
        <w:tblStyle w:val="14"/>
        <w:tblpPr w:leftFromText="180" w:rightFromText="180" w:vertAnchor="text" w:horzAnchor="page" w:tblpXSpec="center" w:tblpY="90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8575"/>
      </w:tblGrid>
      <w:tr w14:paraId="66D2521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2430" w:hRule="atLeast"/>
        </w:trPr>
        <w:tc>
          <w:tcPr>
            <w:tcW w:w="8575" w:type="dxa"/>
            <w:noWrap w:val="0"/>
            <w:vAlign w:val="center"/>
          </w:tcPr>
          <w:p w14:paraId="74D1CFDB">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附法定代表人（或单位负责人）二代身份证复印件</w:t>
            </w:r>
          </w:p>
          <w:p w14:paraId="5E2578FE">
            <w:pPr>
              <w:adjustRightInd w:val="0"/>
              <w:snapToGrid w:val="0"/>
              <w:spacing w:line="560" w:lineRule="exact"/>
              <w:ind w:firstLine="478" w:firstLineChars="228"/>
              <w:jc w:val="center"/>
              <w:rPr>
                <w:rFonts w:ascii="方正仿宋_GBK" w:hAnsi="方正仿宋_GBK" w:eastAsia="方正仿宋_GBK" w:cs="方正仿宋_GBK"/>
                <w:szCs w:val="21"/>
                <w:highlight w:val="none"/>
              </w:rPr>
            </w:pPr>
            <w:r>
              <w:rPr>
                <w:rFonts w:hint="eastAsia" w:ascii="方正仿宋_GBK" w:hAnsi="方正仿宋_GBK" w:eastAsia="方正仿宋_GBK" w:cs="方正仿宋_GBK"/>
                <w:szCs w:val="21"/>
                <w:highlight w:val="none"/>
              </w:rPr>
              <w:t>（双面复印粘贴）</w:t>
            </w:r>
          </w:p>
        </w:tc>
      </w:tr>
    </w:tbl>
    <w:p w14:paraId="32082925">
      <w:pPr>
        <w:adjustRightInd w:val="0"/>
        <w:snapToGrid w:val="0"/>
        <w:spacing w:line="560" w:lineRule="exact"/>
        <w:ind w:firstLine="478" w:firstLineChars="228"/>
        <w:rPr>
          <w:rFonts w:ascii="方正仿宋_GBK" w:hAnsi="方正仿宋_GBK" w:eastAsia="方正仿宋_GBK" w:cs="方正仿宋_GBK"/>
          <w:szCs w:val="21"/>
          <w:highlight w:val="none"/>
        </w:rPr>
      </w:pPr>
    </w:p>
    <w:p w14:paraId="0437A327">
      <w:pPr>
        <w:tabs>
          <w:tab w:val="left" w:pos="2580"/>
          <w:tab w:val="left" w:pos="5940"/>
        </w:tabs>
        <w:jc w:val="left"/>
        <w:rPr>
          <w:highlight w:val="none"/>
        </w:rPr>
      </w:pPr>
    </w:p>
    <w:p w14:paraId="4B0C37B9">
      <w:pPr>
        <w:keepNext/>
        <w:keepLines/>
        <w:spacing w:before="260" w:after="260" w:line="360" w:lineRule="auto"/>
        <w:outlineLvl w:val="1"/>
        <w:rPr>
          <w:rFonts w:ascii="宋体" w:hAnsi="宋体"/>
          <w:sz w:val="44"/>
          <w:szCs w:val="44"/>
          <w:highlight w:val="none"/>
        </w:rPr>
      </w:pPr>
    </w:p>
    <w:p w14:paraId="42AA440E">
      <w:pPr>
        <w:pStyle w:val="12"/>
        <w:rPr>
          <w:highlight w:val="none"/>
        </w:rPr>
      </w:pPr>
    </w:p>
    <w:p w14:paraId="284A64AF">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br w:type="page"/>
      </w:r>
      <w:r>
        <w:rPr>
          <w:rFonts w:hint="eastAsia" w:ascii="宋体" w:hAnsi="宋体"/>
          <w:sz w:val="44"/>
          <w:szCs w:val="44"/>
          <w:highlight w:val="none"/>
        </w:rPr>
        <w:t>二、技术部分</w:t>
      </w:r>
    </w:p>
    <w:p w14:paraId="532D47FC">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封  面</w:t>
      </w:r>
    </w:p>
    <w:p w14:paraId="444F69A0">
      <w:pPr>
        <w:jc w:val="center"/>
        <w:rPr>
          <w:rFonts w:ascii="宋体" w:hAnsi="宋体"/>
          <w:i/>
          <w:iCs/>
          <w:kern w:val="0"/>
          <w:szCs w:val="21"/>
          <w:highlight w:val="none"/>
        </w:rPr>
      </w:pPr>
    </w:p>
    <w:p w14:paraId="3E56E6B7">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格式自拟</w:t>
      </w:r>
      <w:r>
        <w:rPr>
          <w:rFonts w:ascii="宋体" w:hAnsi="宋体"/>
          <w:i/>
          <w:iCs/>
          <w:kern w:val="0"/>
          <w:szCs w:val="21"/>
          <w:highlight w:val="none"/>
        </w:rPr>
        <w:t>]</w:t>
      </w:r>
    </w:p>
    <w:p w14:paraId="621DFE68">
      <w:pPr>
        <w:autoSpaceDE w:val="0"/>
        <w:autoSpaceDN w:val="0"/>
        <w:adjustRightInd w:val="0"/>
        <w:snapToGrid w:val="0"/>
        <w:spacing w:line="360" w:lineRule="auto"/>
        <w:jc w:val="center"/>
        <w:outlineLvl w:val="0"/>
        <w:rPr>
          <w:rFonts w:ascii="宋体" w:hAnsi="宋体"/>
          <w:kern w:val="0"/>
          <w:sz w:val="32"/>
          <w:szCs w:val="32"/>
          <w:highlight w:val="none"/>
        </w:rPr>
      </w:pPr>
      <w:r>
        <w:rPr>
          <w:rFonts w:hint="eastAsia" w:ascii="宋体" w:hAnsi="宋体"/>
          <w:kern w:val="0"/>
          <w:sz w:val="36"/>
          <w:szCs w:val="36"/>
          <w:highlight w:val="none"/>
        </w:rPr>
        <w:t>目  录</w:t>
      </w:r>
    </w:p>
    <w:p w14:paraId="13CF41C0">
      <w:pPr>
        <w:autoSpaceDE w:val="0"/>
        <w:autoSpaceDN w:val="0"/>
        <w:adjustRightInd w:val="0"/>
        <w:snapToGrid w:val="0"/>
        <w:spacing w:line="360" w:lineRule="auto"/>
        <w:jc w:val="left"/>
        <w:rPr>
          <w:rFonts w:ascii="宋体" w:hAnsi="宋体"/>
          <w:kern w:val="0"/>
          <w:sz w:val="32"/>
          <w:szCs w:val="32"/>
          <w:highlight w:val="none"/>
        </w:rPr>
      </w:pPr>
    </w:p>
    <w:p w14:paraId="1DA1F34C">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[目录由参选人自行编制]</w:t>
      </w:r>
    </w:p>
    <w:p w14:paraId="6CFBC86B">
      <w:pPr>
        <w:autoSpaceDE w:val="0"/>
        <w:autoSpaceDN w:val="0"/>
        <w:adjustRightInd w:val="0"/>
        <w:snapToGrid w:val="0"/>
        <w:spacing w:line="360" w:lineRule="auto"/>
        <w:jc w:val="center"/>
        <w:rPr>
          <w:rFonts w:ascii="宋体" w:hAnsi="宋体"/>
          <w:kern w:val="0"/>
          <w:sz w:val="36"/>
          <w:szCs w:val="36"/>
          <w:highlight w:val="none"/>
        </w:rPr>
      </w:pPr>
    </w:p>
    <w:p w14:paraId="0672BD9B">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内容</w:t>
      </w:r>
    </w:p>
    <w:p w14:paraId="01D7E81F">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按照第二章参选人须知第3.2.2要求进行编制</w:t>
      </w:r>
      <w:r>
        <w:rPr>
          <w:rFonts w:ascii="宋体" w:hAnsi="宋体"/>
          <w:i/>
          <w:iCs/>
          <w:kern w:val="0"/>
          <w:szCs w:val="21"/>
          <w:highlight w:val="none"/>
        </w:rPr>
        <w:t>]</w:t>
      </w:r>
    </w:p>
    <w:p w14:paraId="372EDE2B">
      <w:pPr>
        <w:pStyle w:val="2"/>
        <w:spacing w:line="360" w:lineRule="auto"/>
        <w:jc w:val="center"/>
        <w:rPr>
          <w:rFonts w:ascii="宋体" w:hAnsi="宋体"/>
          <w:b w:val="0"/>
          <w:kern w:val="2"/>
          <w:sz w:val="21"/>
          <w:szCs w:val="21"/>
          <w:highlight w:val="none"/>
        </w:rPr>
      </w:pPr>
      <w:r>
        <w:rPr>
          <w:rFonts w:hint="eastAsia" w:ascii="宋体" w:hAnsi="宋体"/>
          <w:b w:val="0"/>
          <w:kern w:val="2"/>
          <w:sz w:val="21"/>
          <w:szCs w:val="21"/>
          <w:highlight w:val="none"/>
        </w:rPr>
        <w:t>，</w:t>
      </w:r>
    </w:p>
    <w:p w14:paraId="74D0D026">
      <w:pPr>
        <w:autoSpaceDE w:val="0"/>
        <w:autoSpaceDN w:val="0"/>
        <w:adjustRightInd w:val="0"/>
        <w:snapToGrid w:val="0"/>
        <w:spacing w:line="360" w:lineRule="auto"/>
        <w:jc w:val="center"/>
        <w:rPr>
          <w:rFonts w:ascii="宋体" w:hAnsi="宋体"/>
          <w:kern w:val="0"/>
          <w:sz w:val="36"/>
          <w:szCs w:val="36"/>
          <w:highlight w:val="none"/>
        </w:rPr>
      </w:pPr>
    </w:p>
    <w:p w14:paraId="1F66A569">
      <w:pPr>
        <w:autoSpaceDE w:val="0"/>
        <w:autoSpaceDN w:val="0"/>
        <w:adjustRightInd w:val="0"/>
        <w:snapToGrid w:val="0"/>
        <w:spacing w:line="360" w:lineRule="auto"/>
        <w:jc w:val="center"/>
        <w:rPr>
          <w:rFonts w:ascii="宋体" w:hAnsi="宋体"/>
          <w:kern w:val="0"/>
          <w:sz w:val="36"/>
          <w:szCs w:val="36"/>
          <w:highlight w:val="none"/>
        </w:rPr>
      </w:pPr>
    </w:p>
    <w:p w14:paraId="7DE3DB76">
      <w:pPr>
        <w:autoSpaceDE w:val="0"/>
        <w:autoSpaceDN w:val="0"/>
        <w:adjustRightInd w:val="0"/>
        <w:snapToGrid w:val="0"/>
        <w:spacing w:line="360" w:lineRule="auto"/>
        <w:jc w:val="center"/>
        <w:rPr>
          <w:rFonts w:ascii="宋体" w:hAnsi="宋体"/>
          <w:kern w:val="0"/>
          <w:sz w:val="36"/>
          <w:szCs w:val="36"/>
          <w:highlight w:val="none"/>
        </w:rPr>
      </w:pPr>
    </w:p>
    <w:p w14:paraId="7812620E">
      <w:pPr>
        <w:autoSpaceDE w:val="0"/>
        <w:autoSpaceDN w:val="0"/>
        <w:adjustRightInd w:val="0"/>
        <w:snapToGrid w:val="0"/>
        <w:spacing w:line="360" w:lineRule="auto"/>
        <w:jc w:val="center"/>
        <w:rPr>
          <w:rFonts w:ascii="宋体" w:hAnsi="宋体"/>
          <w:kern w:val="0"/>
          <w:sz w:val="36"/>
          <w:szCs w:val="36"/>
          <w:highlight w:val="none"/>
        </w:rPr>
      </w:pPr>
    </w:p>
    <w:p w14:paraId="437B0514">
      <w:pPr>
        <w:pStyle w:val="12"/>
        <w:rPr>
          <w:highlight w:val="none"/>
        </w:rPr>
      </w:pPr>
    </w:p>
    <w:p w14:paraId="5DFD9F91">
      <w:pPr>
        <w:rPr>
          <w:highlight w:val="none"/>
        </w:rPr>
      </w:pPr>
    </w:p>
    <w:p w14:paraId="43313F6B">
      <w:pPr>
        <w:pStyle w:val="12"/>
        <w:rPr>
          <w:highlight w:val="none"/>
        </w:rPr>
      </w:pPr>
    </w:p>
    <w:p w14:paraId="2FA1B158">
      <w:pPr>
        <w:autoSpaceDE w:val="0"/>
        <w:autoSpaceDN w:val="0"/>
        <w:adjustRightInd w:val="0"/>
        <w:snapToGrid w:val="0"/>
        <w:spacing w:line="360" w:lineRule="auto"/>
        <w:rPr>
          <w:rFonts w:ascii="宋体" w:hAnsi="宋体"/>
          <w:kern w:val="0"/>
          <w:sz w:val="36"/>
          <w:szCs w:val="36"/>
          <w:highlight w:val="none"/>
        </w:rPr>
      </w:pPr>
    </w:p>
    <w:p w14:paraId="7D186990">
      <w:pPr>
        <w:tabs>
          <w:tab w:val="left" w:pos="2580"/>
          <w:tab w:val="left" w:pos="5940"/>
        </w:tabs>
        <w:jc w:val="left"/>
        <w:rPr>
          <w:rFonts w:ascii="宋体" w:hAnsi="宋体" w:cs="宋体"/>
          <w:b/>
          <w:bCs/>
          <w:color w:val="000000"/>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3" name="矩形 13"/>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12D0B94D">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5926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YGGTZAAAADQEAAA8AAAAAAAAAAQAgAAAAIgAAAGRycy9k&#10;b3ducmV2LnhtbFBLAQIUABQAAAAIAIdO4kA8qfsMAQIAAOMDAAAOAAAAAAAAAAEAIAAAACgBAABk&#10;cnMvZTJvRG9jLnhtbFBLBQYAAAAABgAGAFkBAACbBQAAAAA=&#10;">
                <v:fill on="f" focussize="0,0"/>
                <v:stroke on="f"/>
                <v:imagedata o:title=""/>
                <o:lock v:ext="edit" aspectratio="f"/>
                <v:textbox inset="0mm,0mm,0mm,0mm" style="mso-fit-shape-to-text:t;">
                  <w:txbxContent>
                    <w:p w14:paraId="12D0B94D">
                      <w:pPr>
                        <w:rPr>
                          <w:sz w:val="20"/>
                        </w:rPr>
                      </w:pPr>
                      <w:r>
                        <w:rPr>
                          <w:rFonts w:hint="eastAsia" w:ascii="宋体" w:cs="宋体"/>
                          <w:bCs/>
                          <w:color w:val="000000"/>
                          <w:sz w:val="22"/>
                        </w:rPr>
                        <w:t>密封线</w:t>
                      </w:r>
                    </w:p>
                  </w:txbxContent>
                </v:textbox>
              </v:rect>
            </w:pict>
          </mc:Fallback>
        </mc:AlternateContent>
      </w:r>
    </w:p>
    <w:p w14:paraId="56CB4655">
      <w:pPr>
        <w:keepNext/>
        <w:keepLines/>
        <w:spacing w:before="260" w:after="260" w:line="360" w:lineRule="auto"/>
        <w:jc w:val="center"/>
        <w:outlineLvl w:val="0"/>
        <w:rPr>
          <w:rFonts w:ascii="宋体" w:hAnsi="宋体"/>
          <w:sz w:val="44"/>
          <w:szCs w:val="44"/>
          <w:highlight w:val="none"/>
        </w:rPr>
      </w:pPr>
      <w:r>
        <w:rPr>
          <w:rFonts w:hint="eastAsia" w:ascii="宋体" w:hAnsi="宋体"/>
          <w:sz w:val="44"/>
          <w:szCs w:val="44"/>
          <w:highlight w:val="none"/>
        </w:rPr>
        <w:t>三、资格审查部分</w:t>
      </w:r>
    </w:p>
    <w:p w14:paraId="7954B6FB">
      <w:pPr>
        <w:spacing w:line="360" w:lineRule="auto"/>
        <w:rPr>
          <w:rFonts w:ascii="宋体" w:hAnsi="宋体"/>
          <w:sz w:val="32"/>
          <w:szCs w:val="32"/>
          <w:highlight w:val="none"/>
        </w:rPr>
      </w:pPr>
    </w:p>
    <w:p w14:paraId="4908D331">
      <w:pPr>
        <w:spacing w:line="360" w:lineRule="auto"/>
        <w:rPr>
          <w:rFonts w:ascii="宋体" w:hAnsi="宋体"/>
          <w:sz w:val="32"/>
          <w:szCs w:val="32"/>
          <w:highlight w:val="none"/>
        </w:rPr>
      </w:pPr>
    </w:p>
    <w:p w14:paraId="5094067D">
      <w:pPr>
        <w:spacing w:line="360" w:lineRule="auto"/>
        <w:jc w:val="center"/>
        <w:outlineLvl w:val="0"/>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D6DB74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5E6B6E26">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126BCC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6FD85DE2">
      <w:pPr>
        <w:tabs>
          <w:tab w:val="left" w:pos="3600"/>
          <w:tab w:val="left" w:pos="4480"/>
          <w:tab w:val="left" w:pos="5360"/>
        </w:tabs>
        <w:autoSpaceDE w:val="0"/>
        <w:autoSpaceDN w:val="0"/>
        <w:adjustRightInd w:val="0"/>
        <w:snapToGrid w:val="0"/>
        <w:spacing w:line="360" w:lineRule="auto"/>
        <w:jc w:val="center"/>
        <w:outlineLvl w:val="0"/>
        <w:rPr>
          <w:rFonts w:ascii="宋体" w:hAnsi="宋体"/>
          <w:kern w:val="0"/>
          <w:sz w:val="72"/>
          <w:szCs w:val="72"/>
          <w:highlight w:val="none"/>
        </w:rPr>
      </w:pPr>
      <w:r>
        <w:rPr>
          <w:rFonts w:hint="eastAsia" w:ascii="宋体" w:hAnsi="宋体"/>
          <w:kern w:val="0"/>
          <w:sz w:val="72"/>
          <w:szCs w:val="72"/>
          <w:highlight w:val="none"/>
        </w:rPr>
        <w:t>参 选 文 件</w:t>
      </w:r>
    </w:p>
    <w:p w14:paraId="56047EF5">
      <w:pPr>
        <w:autoSpaceDE w:val="0"/>
        <w:autoSpaceDN w:val="0"/>
        <w:adjustRightInd w:val="0"/>
        <w:snapToGrid w:val="0"/>
        <w:spacing w:line="360" w:lineRule="auto"/>
        <w:jc w:val="left"/>
        <w:rPr>
          <w:rFonts w:ascii="宋体" w:hAnsi="宋体"/>
          <w:kern w:val="0"/>
          <w:sz w:val="16"/>
          <w:szCs w:val="16"/>
          <w:highlight w:val="none"/>
        </w:rPr>
      </w:pPr>
    </w:p>
    <w:p w14:paraId="18744005">
      <w:pPr>
        <w:autoSpaceDE w:val="0"/>
        <w:autoSpaceDN w:val="0"/>
        <w:adjustRightInd w:val="0"/>
        <w:snapToGrid w:val="0"/>
        <w:spacing w:line="360" w:lineRule="auto"/>
        <w:jc w:val="center"/>
        <w:outlineLvl w:val="0"/>
        <w:rPr>
          <w:rFonts w:ascii="宋体" w:hAnsi="宋体"/>
          <w:kern w:val="0"/>
          <w:sz w:val="36"/>
          <w:szCs w:val="36"/>
          <w:highlight w:val="none"/>
        </w:rPr>
      </w:pPr>
      <w:r>
        <w:rPr>
          <w:rFonts w:hint="eastAsia" w:ascii="宋体" w:hAnsi="宋体"/>
          <w:kern w:val="0"/>
          <w:sz w:val="36"/>
          <w:szCs w:val="36"/>
          <w:highlight w:val="none"/>
        </w:rPr>
        <w:t>资格审查部分</w:t>
      </w:r>
    </w:p>
    <w:p w14:paraId="51EDA331">
      <w:pPr>
        <w:autoSpaceDE w:val="0"/>
        <w:autoSpaceDN w:val="0"/>
        <w:adjustRightInd w:val="0"/>
        <w:snapToGrid w:val="0"/>
        <w:spacing w:line="360" w:lineRule="auto"/>
        <w:jc w:val="left"/>
        <w:rPr>
          <w:rFonts w:ascii="宋体" w:hAnsi="宋体" w:cs="MingLiU"/>
          <w:kern w:val="0"/>
          <w:sz w:val="20"/>
          <w:szCs w:val="20"/>
          <w:highlight w:val="none"/>
        </w:rPr>
      </w:pPr>
    </w:p>
    <w:p w14:paraId="2DFDA9F7">
      <w:pPr>
        <w:adjustRightInd w:val="0"/>
        <w:snapToGrid w:val="0"/>
        <w:spacing w:line="264" w:lineRule="auto"/>
        <w:rPr>
          <w:rFonts w:ascii="宋体" w:hAnsi="宋体"/>
          <w:szCs w:val="21"/>
          <w:highlight w:val="none"/>
        </w:rPr>
      </w:pPr>
    </w:p>
    <w:p w14:paraId="3AF6815D">
      <w:pPr>
        <w:autoSpaceDE w:val="0"/>
        <w:autoSpaceDN w:val="0"/>
        <w:adjustRightInd w:val="0"/>
        <w:snapToGrid w:val="0"/>
        <w:spacing w:line="360" w:lineRule="auto"/>
        <w:jc w:val="left"/>
        <w:rPr>
          <w:rFonts w:ascii="宋体" w:hAnsi="宋体" w:cs="MingLiU"/>
          <w:kern w:val="0"/>
          <w:sz w:val="20"/>
          <w:szCs w:val="20"/>
          <w:highlight w:val="none"/>
        </w:rPr>
      </w:pPr>
    </w:p>
    <w:p w14:paraId="4B3512AC">
      <w:pPr>
        <w:autoSpaceDE w:val="0"/>
        <w:autoSpaceDN w:val="0"/>
        <w:adjustRightInd w:val="0"/>
        <w:snapToGrid w:val="0"/>
        <w:spacing w:line="360" w:lineRule="auto"/>
        <w:jc w:val="left"/>
        <w:rPr>
          <w:rFonts w:ascii="宋体" w:hAnsi="宋体" w:cs="MingLiU"/>
          <w:kern w:val="0"/>
          <w:sz w:val="20"/>
          <w:szCs w:val="20"/>
          <w:highlight w:val="none"/>
        </w:rPr>
      </w:pPr>
    </w:p>
    <w:p w14:paraId="3B50A304">
      <w:pPr>
        <w:autoSpaceDE w:val="0"/>
        <w:autoSpaceDN w:val="0"/>
        <w:adjustRightInd w:val="0"/>
        <w:snapToGrid w:val="0"/>
        <w:spacing w:line="360" w:lineRule="auto"/>
        <w:jc w:val="left"/>
        <w:rPr>
          <w:rFonts w:ascii="宋体" w:hAnsi="宋体" w:cs="MingLiU"/>
          <w:kern w:val="0"/>
          <w:sz w:val="20"/>
          <w:szCs w:val="20"/>
          <w:highlight w:val="none"/>
        </w:rPr>
      </w:pPr>
    </w:p>
    <w:p w14:paraId="32363DA4">
      <w:pPr>
        <w:autoSpaceDE w:val="0"/>
        <w:autoSpaceDN w:val="0"/>
        <w:adjustRightInd w:val="0"/>
        <w:snapToGrid w:val="0"/>
        <w:spacing w:line="360" w:lineRule="auto"/>
        <w:jc w:val="left"/>
        <w:rPr>
          <w:rFonts w:ascii="宋体" w:hAnsi="宋体" w:cs="MingLiU"/>
          <w:kern w:val="0"/>
          <w:sz w:val="20"/>
          <w:szCs w:val="20"/>
          <w:highlight w:val="none"/>
        </w:rPr>
      </w:pPr>
    </w:p>
    <w:p w14:paraId="1FCB8E1F">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参选人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（盖单位公章）</w:t>
      </w:r>
    </w:p>
    <w:p w14:paraId="06AD33B2">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（签字或盖章）</w:t>
      </w:r>
    </w:p>
    <w:p w14:paraId="016481FC">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290BE569">
      <w:pPr>
        <w:autoSpaceDE w:val="0"/>
        <w:autoSpaceDN w:val="0"/>
        <w:adjustRightInd w:val="0"/>
        <w:snapToGrid w:val="0"/>
        <w:jc w:val="center"/>
        <w:rPr>
          <w:rFonts w:ascii="宋体" w:hAnsi="宋体"/>
          <w:kern w:val="0"/>
          <w:sz w:val="36"/>
          <w:szCs w:val="36"/>
          <w:highlight w:val="none"/>
        </w:rPr>
      </w:pPr>
    </w:p>
    <w:p w14:paraId="118F3038">
      <w:pPr>
        <w:autoSpaceDE w:val="0"/>
        <w:autoSpaceDN w:val="0"/>
        <w:adjustRightInd w:val="0"/>
        <w:snapToGrid w:val="0"/>
        <w:jc w:val="center"/>
        <w:rPr>
          <w:rFonts w:ascii="宋体" w:hAnsi="宋体"/>
          <w:kern w:val="0"/>
          <w:sz w:val="36"/>
          <w:szCs w:val="36"/>
          <w:highlight w:val="none"/>
        </w:rPr>
      </w:pPr>
    </w:p>
    <w:p w14:paraId="4F4AEBC9">
      <w:pPr>
        <w:autoSpaceDE w:val="0"/>
        <w:autoSpaceDN w:val="0"/>
        <w:adjustRightInd w:val="0"/>
        <w:snapToGrid w:val="0"/>
        <w:jc w:val="center"/>
        <w:rPr>
          <w:rFonts w:ascii="宋体" w:hAnsi="宋体"/>
          <w:kern w:val="0"/>
          <w:sz w:val="36"/>
          <w:szCs w:val="36"/>
          <w:highlight w:val="none"/>
        </w:rPr>
      </w:pPr>
    </w:p>
    <w:p w14:paraId="1AB4013E">
      <w:pPr>
        <w:autoSpaceDE/>
        <w:autoSpaceDN/>
        <w:adjustRightInd/>
        <w:snapToGrid/>
        <w:jc w:val="left"/>
        <w:outlineLvl w:val="0"/>
        <w:rPr>
          <w:rFonts w:hint="eastAsia" w:ascii="宋体" w:hAnsi="宋体"/>
          <w:kern w:val="0"/>
          <w:sz w:val="36"/>
          <w:szCs w:val="36"/>
          <w:highlight w:val="none"/>
        </w:rPr>
      </w:pPr>
      <w:r>
        <w:rPr>
          <w:rFonts w:hint="eastAsia" w:ascii="宋体" w:hAnsi="宋体"/>
          <w:kern w:val="0"/>
          <w:sz w:val="36"/>
          <w:szCs w:val="36"/>
          <w:highlight w:val="none"/>
        </w:rPr>
        <w:br w:type="page"/>
      </w:r>
    </w:p>
    <w:p w14:paraId="28CB67C0">
      <w:pPr>
        <w:autoSpaceDE w:val="0"/>
        <w:autoSpaceDN w:val="0"/>
        <w:adjustRightInd w:val="0"/>
        <w:snapToGrid w:val="0"/>
        <w:jc w:val="center"/>
        <w:outlineLvl w:val="0"/>
        <w:rPr>
          <w:rFonts w:ascii="宋体" w:hAnsi="宋体"/>
          <w:kern w:val="0"/>
          <w:sz w:val="36"/>
          <w:szCs w:val="36"/>
          <w:highlight w:val="none"/>
        </w:rPr>
      </w:pPr>
      <w:r>
        <w:rPr>
          <w:rFonts w:hint="eastAsia" w:ascii="宋体" w:hAnsi="宋体"/>
          <w:kern w:val="0"/>
          <w:sz w:val="36"/>
          <w:szCs w:val="36"/>
          <w:highlight w:val="none"/>
        </w:rPr>
        <w:t>目  录</w:t>
      </w:r>
    </w:p>
    <w:p w14:paraId="22BC2FF3">
      <w:pPr>
        <w:spacing w:line="360" w:lineRule="auto"/>
        <w:jc w:val="center"/>
        <w:rPr>
          <w:rFonts w:ascii="宋体" w:hAnsi="宋体"/>
          <w:b/>
          <w:kern w:val="0"/>
          <w:sz w:val="32"/>
          <w:szCs w:val="32"/>
          <w:highlight w:val="none"/>
        </w:rPr>
      </w:pPr>
    </w:p>
    <w:p w14:paraId="5CAF70C2">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营业执照</w:t>
      </w:r>
    </w:p>
    <w:p w14:paraId="6B3DA643">
      <w:pPr>
        <w:spacing w:line="360" w:lineRule="auto"/>
        <w:ind w:firstLine="420" w:firstLineChars="200"/>
        <w:rPr>
          <w:rFonts w:ascii="宋体" w:hAnsi="宋体"/>
          <w:szCs w:val="21"/>
          <w:highlight w:val="none"/>
        </w:rPr>
      </w:pPr>
      <w:r>
        <w:rPr>
          <w:rFonts w:hint="eastAsia" w:ascii="宋体" w:hAnsi="宋体"/>
          <w:szCs w:val="21"/>
          <w:highlight w:val="none"/>
        </w:rPr>
        <w:t xml:space="preserve">（二）法定代表人身份证明或附有法定代表人身份证明的授权委托书                                                                                                  </w:t>
      </w:r>
    </w:p>
    <w:p w14:paraId="40966D8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三</w:t>
      </w:r>
      <w:r>
        <w:rPr>
          <w:rFonts w:ascii="宋体" w:hAnsi="宋体"/>
          <w:szCs w:val="21"/>
          <w:highlight w:val="none"/>
        </w:rPr>
        <w:t>）</w:t>
      </w:r>
      <w:r>
        <w:rPr>
          <w:rFonts w:hint="eastAsia" w:ascii="宋体" w:hAnsi="宋体"/>
          <w:szCs w:val="21"/>
          <w:highlight w:val="none"/>
        </w:rPr>
        <w:t>承诺</w:t>
      </w:r>
    </w:p>
    <w:p w14:paraId="3693D14D">
      <w:pPr>
        <w:spacing w:line="360" w:lineRule="auto"/>
        <w:ind w:firstLine="420" w:firstLineChars="200"/>
        <w:rPr>
          <w:rFonts w:hint="default" w:ascii="宋体" w:hAnsi="宋体" w:eastAsia="宋体"/>
          <w:szCs w:val="21"/>
          <w:highlight w:val="none"/>
          <w:lang w:val="en-US" w:eastAsia="zh-CN"/>
        </w:rPr>
      </w:pPr>
      <w:r>
        <w:rPr>
          <w:rFonts w:ascii="宋体" w:hAnsi="宋体"/>
          <w:szCs w:val="21"/>
          <w:highlight w:val="none"/>
        </w:rPr>
        <w:t>（</w:t>
      </w:r>
      <w:r>
        <w:rPr>
          <w:rFonts w:hint="eastAsia" w:ascii="宋体" w:hAnsi="宋体"/>
          <w:szCs w:val="21"/>
          <w:highlight w:val="none"/>
        </w:rPr>
        <w:t>四</w:t>
      </w:r>
      <w:r>
        <w:rPr>
          <w:rFonts w:ascii="宋体" w:hAnsi="宋体"/>
          <w:szCs w:val="21"/>
          <w:highlight w:val="none"/>
        </w:rPr>
        <w:t>）</w:t>
      </w:r>
      <w:r>
        <w:rPr>
          <w:rFonts w:hint="eastAsia" w:ascii="宋体" w:hAnsi="宋体"/>
          <w:szCs w:val="21"/>
          <w:highlight w:val="none"/>
          <w:lang w:val="en-US" w:eastAsia="zh-CN"/>
        </w:rPr>
        <w:t>联合体协议书</w:t>
      </w:r>
    </w:p>
    <w:p w14:paraId="019FBB37">
      <w:pPr>
        <w:spacing w:line="36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五</w:t>
      </w:r>
      <w:r>
        <w:rPr>
          <w:rFonts w:hint="eastAsia" w:ascii="宋体" w:hAnsi="宋体"/>
          <w:szCs w:val="21"/>
          <w:highlight w:val="none"/>
          <w:lang w:eastAsia="zh-CN"/>
        </w:rPr>
        <w:t>）</w:t>
      </w:r>
      <w:r>
        <w:rPr>
          <w:rFonts w:ascii="宋体" w:hAnsi="宋体"/>
          <w:szCs w:val="21"/>
          <w:highlight w:val="none"/>
        </w:rPr>
        <w:t>其他资料</w:t>
      </w:r>
      <w:r>
        <w:rPr>
          <w:rFonts w:hint="eastAsia" w:ascii="宋体" w:hAnsi="宋体"/>
          <w:szCs w:val="21"/>
          <w:highlight w:val="none"/>
        </w:rPr>
        <w:t>（业绩证明材料等）</w:t>
      </w:r>
    </w:p>
    <w:p w14:paraId="7B8D7C8F">
      <w:pPr>
        <w:spacing w:line="360" w:lineRule="auto"/>
        <w:jc w:val="center"/>
        <w:rPr>
          <w:rFonts w:ascii="宋体" w:hAnsi="宋体"/>
          <w:b/>
          <w:kern w:val="0"/>
          <w:sz w:val="32"/>
          <w:szCs w:val="32"/>
          <w:highlight w:val="none"/>
        </w:rPr>
      </w:pPr>
    </w:p>
    <w:p w14:paraId="61493297">
      <w:pPr>
        <w:spacing w:line="360" w:lineRule="auto"/>
        <w:jc w:val="center"/>
        <w:rPr>
          <w:rFonts w:ascii="宋体" w:hAnsi="宋体"/>
          <w:b/>
          <w:kern w:val="0"/>
          <w:sz w:val="32"/>
          <w:szCs w:val="32"/>
          <w:highlight w:val="none"/>
        </w:rPr>
      </w:pPr>
    </w:p>
    <w:p w14:paraId="6A54B83A">
      <w:pPr>
        <w:keepNext/>
        <w:keepLines/>
        <w:numPr>
          <w:ilvl w:val="0"/>
          <w:numId w:val="3"/>
        </w:numPr>
        <w:spacing w:before="260" w:after="260" w:line="416" w:lineRule="auto"/>
        <w:jc w:val="center"/>
        <w:outlineLvl w:val="0"/>
        <w:rPr>
          <w:rFonts w:ascii="宋体" w:hAnsi="宋体"/>
          <w:b/>
          <w:bCs/>
          <w:sz w:val="32"/>
          <w:szCs w:val="32"/>
          <w:highlight w:val="none"/>
        </w:rPr>
      </w:pPr>
      <w:r>
        <w:rPr>
          <w:rFonts w:ascii="宋体" w:hAnsi="宋体"/>
          <w:b/>
          <w:bCs/>
          <w:sz w:val="32"/>
          <w:szCs w:val="32"/>
          <w:highlight w:val="none"/>
        </w:rPr>
        <w:br w:type="page"/>
      </w:r>
      <w:r>
        <w:rPr>
          <w:rFonts w:hint="eastAsia" w:ascii="宋体" w:hAnsi="宋体"/>
          <w:b/>
          <w:bCs/>
          <w:sz w:val="32"/>
          <w:szCs w:val="32"/>
          <w:highlight w:val="none"/>
        </w:rPr>
        <w:t>营业执照</w:t>
      </w:r>
    </w:p>
    <w:p w14:paraId="67791466">
      <w:pPr>
        <w:pStyle w:val="12"/>
        <w:jc w:val="center"/>
        <w:rPr>
          <w:rFonts w:ascii="宋体" w:hAnsi="宋体" w:cs="Times New Roman"/>
          <w:b w:val="0"/>
          <w:bCs w:val="0"/>
          <w:sz w:val="28"/>
          <w:szCs w:val="24"/>
          <w:highlight w:val="none"/>
        </w:rPr>
      </w:pPr>
      <w:r>
        <w:rPr>
          <w:rFonts w:hint="eastAsia" w:ascii="宋体" w:hAnsi="宋体" w:cs="Times New Roman"/>
          <w:b w:val="0"/>
          <w:bCs w:val="0"/>
          <w:sz w:val="28"/>
          <w:szCs w:val="24"/>
          <w:highlight w:val="none"/>
        </w:rPr>
        <w:t>参选人提供营业执照复印件加盖公章，原件备查</w:t>
      </w:r>
    </w:p>
    <w:p w14:paraId="15B16F71">
      <w:pPr>
        <w:rPr>
          <w:rFonts w:ascii="宋体" w:hAnsi="宋体"/>
          <w:sz w:val="28"/>
          <w:highlight w:val="none"/>
        </w:rPr>
      </w:pPr>
    </w:p>
    <w:p w14:paraId="28731A5D">
      <w:pPr>
        <w:pStyle w:val="12"/>
        <w:rPr>
          <w:rFonts w:ascii="宋体" w:hAnsi="宋体" w:cs="Times New Roman"/>
          <w:b w:val="0"/>
          <w:bCs w:val="0"/>
          <w:sz w:val="28"/>
          <w:szCs w:val="24"/>
          <w:highlight w:val="none"/>
        </w:rPr>
      </w:pPr>
    </w:p>
    <w:p w14:paraId="531BB4ED">
      <w:pPr>
        <w:rPr>
          <w:rFonts w:ascii="宋体" w:hAnsi="宋体"/>
          <w:sz w:val="28"/>
          <w:highlight w:val="none"/>
        </w:rPr>
      </w:pPr>
    </w:p>
    <w:p w14:paraId="48291002">
      <w:pPr>
        <w:pStyle w:val="12"/>
        <w:rPr>
          <w:rFonts w:ascii="宋体" w:hAnsi="宋体" w:cs="Times New Roman"/>
          <w:b w:val="0"/>
          <w:bCs w:val="0"/>
          <w:sz w:val="28"/>
          <w:szCs w:val="24"/>
          <w:highlight w:val="none"/>
        </w:rPr>
      </w:pPr>
    </w:p>
    <w:p w14:paraId="133A3BBE">
      <w:pPr>
        <w:rPr>
          <w:rFonts w:ascii="宋体" w:hAnsi="宋体"/>
          <w:sz w:val="28"/>
          <w:highlight w:val="none"/>
        </w:rPr>
      </w:pPr>
    </w:p>
    <w:p w14:paraId="3FD60D28">
      <w:pPr>
        <w:pStyle w:val="12"/>
        <w:rPr>
          <w:rFonts w:ascii="宋体" w:hAnsi="宋体" w:cs="Times New Roman"/>
          <w:b w:val="0"/>
          <w:bCs w:val="0"/>
          <w:sz w:val="28"/>
          <w:szCs w:val="24"/>
          <w:highlight w:val="none"/>
        </w:rPr>
      </w:pPr>
    </w:p>
    <w:p w14:paraId="0C62DFFE">
      <w:pPr>
        <w:rPr>
          <w:rFonts w:ascii="宋体" w:hAnsi="宋体"/>
          <w:sz w:val="28"/>
          <w:highlight w:val="none"/>
        </w:rPr>
      </w:pPr>
    </w:p>
    <w:p w14:paraId="15E6D81F">
      <w:pPr>
        <w:pStyle w:val="12"/>
        <w:rPr>
          <w:rFonts w:ascii="宋体" w:hAnsi="宋体" w:cs="Times New Roman"/>
          <w:b w:val="0"/>
          <w:bCs w:val="0"/>
          <w:sz w:val="28"/>
          <w:szCs w:val="24"/>
          <w:highlight w:val="none"/>
        </w:rPr>
      </w:pPr>
    </w:p>
    <w:p w14:paraId="13C4C4F7">
      <w:pPr>
        <w:rPr>
          <w:rFonts w:ascii="宋体" w:hAnsi="宋体"/>
          <w:sz w:val="28"/>
          <w:highlight w:val="none"/>
        </w:rPr>
      </w:pPr>
    </w:p>
    <w:p w14:paraId="363050C5">
      <w:pPr>
        <w:pStyle w:val="12"/>
        <w:rPr>
          <w:rFonts w:ascii="宋体" w:hAnsi="宋体" w:cs="Times New Roman"/>
          <w:b w:val="0"/>
          <w:bCs w:val="0"/>
          <w:sz w:val="28"/>
          <w:szCs w:val="24"/>
          <w:highlight w:val="none"/>
        </w:rPr>
      </w:pPr>
    </w:p>
    <w:p w14:paraId="77CAE0FE">
      <w:pPr>
        <w:rPr>
          <w:rFonts w:ascii="宋体" w:hAnsi="宋体"/>
          <w:sz w:val="28"/>
          <w:highlight w:val="none"/>
        </w:rPr>
      </w:pPr>
    </w:p>
    <w:p w14:paraId="19C90CF1">
      <w:pPr>
        <w:pStyle w:val="12"/>
        <w:rPr>
          <w:rFonts w:ascii="宋体" w:hAnsi="宋体" w:cs="Times New Roman"/>
          <w:b w:val="0"/>
          <w:bCs w:val="0"/>
          <w:sz w:val="28"/>
          <w:szCs w:val="24"/>
          <w:highlight w:val="none"/>
        </w:rPr>
      </w:pPr>
    </w:p>
    <w:p w14:paraId="4CAAD996">
      <w:pPr>
        <w:rPr>
          <w:rFonts w:ascii="宋体" w:hAnsi="宋体"/>
          <w:sz w:val="28"/>
          <w:highlight w:val="none"/>
        </w:rPr>
      </w:pPr>
    </w:p>
    <w:p w14:paraId="63C7D1BB">
      <w:pPr>
        <w:pStyle w:val="12"/>
        <w:rPr>
          <w:highlight w:val="none"/>
        </w:rPr>
      </w:pPr>
    </w:p>
    <w:p w14:paraId="176DF900">
      <w:pPr>
        <w:keepNext/>
        <w:keepLines/>
        <w:spacing w:before="260" w:after="260" w:line="416" w:lineRule="auto"/>
        <w:outlineLvl w:val="0"/>
        <w:rPr>
          <w:rFonts w:ascii="宋体" w:hAnsi="宋体"/>
          <w:b/>
          <w:bCs/>
          <w:snapToGrid w:val="0"/>
          <w:kern w:val="0"/>
          <w:sz w:val="30"/>
          <w:szCs w:val="30"/>
          <w:highlight w:val="none"/>
        </w:rPr>
      </w:pPr>
      <w:r>
        <w:rPr>
          <w:b/>
          <w:bCs/>
          <w:sz w:val="30"/>
          <w:szCs w:val="30"/>
          <w:highlight w:val="none"/>
        </w:rPr>
        <w:t>（</w:t>
      </w:r>
      <w:r>
        <w:rPr>
          <w:rFonts w:hint="eastAsia"/>
          <w:b/>
          <w:bCs/>
          <w:sz w:val="30"/>
          <w:szCs w:val="30"/>
          <w:highlight w:val="none"/>
        </w:rPr>
        <w:t>二</w:t>
      </w:r>
      <w:r>
        <w:rPr>
          <w:b/>
          <w:bCs/>
          <w:sz w:val="30"/>
          <w:szCs w:val="30"/>
          <w:highlight w:val="none"/>
        </w:rPr>
        <w:t>）</w:t>
      </w:r>
      <w:r>
        <w:rPr>
          <w:rFonts w:hint="eastAsia"/>
          <w:b/>
          <w:bCs/>
          <w:sz w:val="30"/>
          <w:szCs w:val="30"/>
          <w:highlight w:val="none"/>
        </w:rPr>
        <w:t>法定代表人身份证明或附有法定代表人身份证明的授权委托书</w:t>
      </w:r>
    </w:p>
    <w:p w14:paraId="6DE8ADBE">
      <w:pPr>
        <w:spacing w:line="480" w:lineRule="auto"/>
        <w:jc w:val="center"/>
        <w:rPr>
          <w:rFonts w:ascii="宋体" w:hAnsi="宋体"/>
          <w:sz w:val="28"/>
          <w:highlight w:val="none"/>
        </w:rPr>
      </w:pPr>
      <w:r>
        <w:rPr>
          <w:rFonts w:hint="eastAsia" w:ascii="宋体" w:hAnsi="宋体"/>
          <w:sz w:val="28"/>
          <w:highlight w:val="none"/>
        </w:rPr>
        <w:t>法定代表人身份证明</w:t>
      </w:r>
    </w:p>
    <w:p w14:paraId="01C1B263">
      <w:pPr>
        <w:spacing w:line="480" w:lineRule="auto"/>
        <w:jc w:val="center"/>
        <w:rPr>
          <w:rFonts w:ascii="宋体" w:hAnsi="宋体"/>
          <w:highlight w:val="none"/>
        </w:rPr>
      </w:pPr>
    </w:p>
    <w:p w14:paraId="46C25413">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参选人名称：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26F18BB">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44D925F">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7F8FE37">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53CB6C26">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3A3AC2D">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1FECF6F4">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（参选人名称）</w:t>
      </w:r>
      <w:r>
        <w:rPr>
          <w:rFonts w:ascii="宋体" w:hAnsi="宋体"/>
          <w:kern w:val="0"/>
          <w:szCs w:val="21"/>
          <w:highlight w:val="none"/>
        </w:rPr>
        <w:t>的法定代表人。</w:t>
      </w:r>
    </w:p>
    <w:p w14:paraId="745CD400">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2CC3D419">
      <w:pPr>
        <w:autoSpaceDE w:val="0"/>
        <w:autoSpaceDN w:val="0"/>
        <w:adjustRightInd w:val="0"/>
        <w:snapToGrid w:val="0"/>
        <w:spacing w:line="480" w:lineRule="auto"/>
        <w:ind w:firstLine="810" w:firstLineChars="386"/>
        <w:jc w:val="left"/>
        <w:rPr>
          <w:rFonts w:ascii="宋体" w:hAnsi="宋体"/>
          <w:szCs w:val="21"/>
          <w:highlight w:val="none"/>
        </w:rPr>
      </w:pPr>
      <w:r>
        <w:rPr>
          <w:rFonts w:hint="eastAsia" w:ascii="宋体" w:hAnsi="宋体"/>
          <w:kern w:val="0"/>
          <w:szCs w:val="21"/>
          <w:highlight w:val="none"/>
        </w:rPr>
        <w:t>附：法定代表人身份证明复印件（双面）</w:t>
      </w:r>
    </w:p>
    <w:p w14:paraId="5B7561F1">
      <w:pPr>
        <w:spacing w:line="360" w:lineRule="auto"/>
        <w:rPr>
          <w:rFonts w:ascii="宋体" w:hAnsi="宋体"/>
          <w:szCs w:val="21"/>
          <w:highlight w:val="none"/>
        </w:rPr>
      </w:pPr>
    </w:p>
    <w:p w14:paraId="06970AFE">
      <w:pPr>
        <w:spacing w:line="360" w:lineRule="auto"/>
        <w:rPr>
          <w:rFonts w:ascii="宋体" w:hAnsi="宋体"/>
          <w:szCs w:val="21"/>
          <w:highlight w:val="none"/>
        </w:rPr>
      </w:pPr>
    </w:p>
    <w:p w14:paraId="0B5A4161">
      <w:pPr>
        <w:spacing w:line="360" w:lineRule="auto"/>
        <w:rPr>
          <w:rFonts w:ascii="宋体" w:hAnsi="宋体"/>
          <w:szCs w:val="21"/>
          <w:highlight w:val="none"/>
        </w:rPr>
      </w:pPr>
    </w:p>
    <w:p w14:paraId="4FE08BE4">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参选人：</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盖单位公章）</w:t>
      </w:r>
    </w:p>
    <w:p w14:paraId="34D5C6D1">
      <w:pPr>
        <w:autoSpaceDE w:val="0"/>
        <w:autoSpaceDN w:val="0"/>
        <w:adjustRightInd w:val="0"/>
        <w:snapToGrid w:val="0"/>
        <w:spacing w:line="480" w:lineRule="auto"/>
        <w:jc w:val="left"/>
        <w:rPr>
          <w:rFonts w:ascii="宋体" w:hAnsi="宋体"/>
          <w:kern w:val="0"/>
          <w:sz w:val="20"/>
          <w:szCs w:val="20"/>
          <w:highlight w:val="none"/>
        </w:rPr>
      </w:pPr>
    </w:p>
    <w:p w14:paraId="2A183F94">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1B7037A6">
      <w:pPr>
        <w:autoSpaceDE w:val="0"/>
        <w:autoSpaceDN w:val="0"/>
        <w:adjustRightInd w:val="0"/>
        <w:snapToGrid w:val="0"/>
        <w:spacing w:line="360" w:lineRule="auto"/>
        <w:jc w:val="left"/>
        <w:rPr>
          <w:rFonts w:ascii="宋体" w:hAnsi="宋体"/>
          <w:kern w:val="0"/>
          <w:highlight w:val="none"/>
        </w:rPr>
      </w:pPr>
    </w:p>
    <w:p w14:paraId="3BD384AE">
      <w:pPr>
        <w:autoSpaceDE w:val="0"/>
        <w:autoSpaceDN w:val="0"/>
        <w:adjustRightInd w:val="0"/>
        <w:snapToGrid w:val="0"/>
        <w:spacing w:line="360" w:lineRule="auto"/>
        <w:jc w:val="left"/>
        <w:rPr>
          <w:rFonts w:ascii="宋体" w:hAnsi="宋体"/>
          <w:kern w:val="0"/>
          <w:highlight w:val="none"/>
        </w:rPr>
      </w:pPr>
    </w:p>
    <w:p w14:paraId="5489F4E8">
      <w:pPr>
        <w:tabs>
          <w:tab w:val="left" w:pos="1680"/>
          <w:tab w:val="left" w:pos="4215"/>
          <w:tab w:val="left" w:pos="4305"/>
          <w:tab w:val="left" w:pos="8000"/>
        </w:tabs>
        <w:autoSpaceDE w:val="0"/>
        <w:autoSpaceDN w:val="0"/>
        <w:adjustRightInd w:val="0"/>
        <w:snapToGrid w:val="0"/>
        <w:spacing w:line="360" w:lineRule="auto"/>
        <w:ind w:firstLine="411" w:firstLineChars="196"/>
        <w:jc w:val="center"/>
        <w:rPr>
          <w:rFonts w:ascii="宋体" w:hAnsi="宋体"/>
          <w:kern w:val="0"/>
          <w:sz w:val="20"/>
          <w:szCs w:val="20"/>
          <w:highlight w:val="none"/>
        </w:rPr>
      </w:pPr>
      <w:r>
        <w:rPr>
          <w:highlight w:val="none"/>
        </w:rPr>
        <w:t>注：法定代表人身份证明需按上述格式填写完整，不可缺少内容。在此基础上增加内容的不影响其有效性</w:t>
      </w:r>
      <w:r>
        <w:rPr>
          <w:rFonts w:hint="eastAsia" w:ascii="宋体" w:hAnsi="宋体"/>
          <w:kern w:val="0"/>
          <w:szCs w:val="21"/>
          <w:highlight w:val="none"/>
        </w:rPr>
        <w:t>。</w:t>
      </w: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0A3AC5E0">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参选人</w:t>
      </w:r>
      <w:r>
        <w:rPr>
          <w:rFonts w:ascii="宋体" w:hAnsi="宋体"/>
          <w:kern w:val="0"/>
          <w:szCs w:val="21"/>
          <w:highlight w:val="none"/>
          <w:u w:val="single"/>
        </w:rPr>
        <w:t>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参选文件、签订合同和处理有关事宜， 其法律后果由我方承担。</w:t>
      </w:r>
    </w:p>
    <w:p w14:paraId="5E614EB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4FA716F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763481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42801A3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3F6BC679">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075B92C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8F8EEE4">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（签</w:t>
      </w:r>
      <w:r>
        <w:rPr>
          <w:rFonts w:ascii="宋体" w:hAnsi="宋体"/>
          <w:spacing w:val="-1"/>
          <w:kern w:val="0"/>
          <w:szCs w:val="21"/>
          <w:highlight w:val="none"/>
        </w:rPr>
        <w:t>字</w:t>
      </w:r>
      <w:r>
        <w:rPr>
          <w:rFonts w:ascii="宋体" w:hAnsi="宋体"/>
          <w:kern w:val="0"/>
          <w:szCs w:val="21"/>
          <w:highlight w:val="none"/>
        </w:rPr>
        <w:t>）</w:t>
      </w:r>
    </w:p>
    <w:p w14:paraId="45153E2B">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D2BD4C7">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73B8994">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53485D86">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附：法定代表人和委托代理人身份证明复印件（双面）</w:t>
      </w:r>
    </w:p>
    <w:p w14:paraId="74D67A19">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6459C89">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68CA25AA">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注：1、法定代表人参加参选活动并签署文件的不需要授权委托书，只需提供法定代表人身份证明；非法定代表人参加参选活动及签署文件的除提供法定代表人身份证明外还须提供授权委托书。</w:t>
      </w:r>
    </w:p>
    <w:p w14:paraId="31CE2886">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2、法定代表人身份证明及授权委托书原件装入参选文件一并递交。另外须准备一份授权委托书原件在开标现场出具。</w:t>
      </w:r>
    </w:p>
    <w:p w14:paraId="03840D48">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028C2F5E">
      <w:pPr>
        <w:keepNext/>
        <w:keepLines/>
        <w:spacing w:after="260" w:line="360" w:lineRule="auto"/>
        <w:jc w:val="center"/>
        <w:outlineLvl w:val="0"/>
        <w:rPr>
          <w:rFonts w:ascii="宋体" w:hAnsi="宋体"/>
          <w:bCs/>
          <w:sz w:val="32"/>
          <w:szCs w:val="32"/>
          <w:highlight w:val="none"/>
        </w:rPr>
      </w:pPr>
      <w:r>
        <w:rPr>
          <w:rFonts w:hint="eastAsia" w:ascii="宋体" w:hAnsi="宋体"/>
          <w:b/>
          <w:bCs/>
          <w:sz w:val="32"/>
          <w:szCs w:val="32"/>
          <w:highlight w:val="none"/>
        </w:rPr>
        <w:t>（三）承诺</w:t>
      </w:r>
    </w:p>
    <w:p w14:paraId="7D4C92AC">
      <w:pPr>
        <w:snapToGrid w:val="0"/>
        <w:spacing w:line="400" w:lineRule="exact"/>
        <w:rPr>
          <w:rFonts w:ascii="宋体" w:hAnsi="宋体"/>
          <w:szCs w:val="21"/>
          <w:highlight w:val="none"/>
          <w:u w:val="single"/>
        </w:rPr>
      </w:pPr>
      <w:r>
        <w:rPr>
          <w:rFonts w:hint="eastAsia" w:ascii="宋体" w:hAnsi="宋体"/>
          <w:szCs w:val="21"/>
          <w:highlight w:val="none"/>
          <w:u w:val="single"/>
        </w:rPr>
        <w:t xml:space="preserve">        （比选人名称）</w:t>
      </w:r>
      <w:r>
        <w:rPr>
          <w:rFonts w:hint="eastAsia" w:ascii="宋体" w:hAnsi="宋体"/>
          <w:szCs w:val="21"/>
          <w:highlight w:val="none"/>
        </w:rPr>
        <w:t>：</w:t>
      </w:r>
    </w:p>
    <w:p w14:paraId="7543D6DC">
      <w:pPr>
        <w:snapToGrid w:val="0"/>
        <w:spacing w:line="40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（参选人名称）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的参选，自愿作出以下承诺：</w:t>
      </w:r>
    </w:p>
    <w:p w14:paraId="7F2E39F3">
      <w:pPr>
        <w:snapToGrid w:val="0"/>
        <w:spacing w:line="400" w:lineRule="exact"/>
        <w:ind w:firstLine="420" w:firstLineChars="200"/>
        <w:rPr>
          <w:rFonts w:ascii="宋体" w:hAnsi="宋体"/>
          <w:szCs w:val="21"/>
          <w:highlight w:val="none"/>
        </w:rPr>
      </w:pPr>
    </w:p>
    <w:p w14:paraId="269D4E0C">
      <w:pPr>
        <w:tabs>
          <w:tab w:val="left" w:pos="3315"/>
          <w:tab w:val="left" w:pos="3390"/>
          <w:tab w:val="left" w:pos="6120"/>
          <w:tab w:val="left" w:pos="885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1.公司承</w:t>
      </w:r>
      <w:r>
        <w:rPr>
          <w:rFonts w:hint="eastAsia" w:ascii="宋体" w:hAnsi="宋体"/>
          <w:snapToGrid w:val="0"/>
          <w:kern w:val="0"/>
          <w:szCs w:val="21"/>
          <w:highlight w:val="none"/>
          <w:lang w:val="zh-CN"/>
        </w:rPr>
        <w:t>具有独立承担民事责任的能力、具有良好的商业信誉和健全的财务会计制度、具有履行合同所必需的设备和专业技术能力、参加</w:t>
      </w:r>
      <w:r>
        <w:rPr>
          <w:rFonts w:hint="eastAsia" w:ascii="宋体" w:hAnsi="宋体"/>
          <w:snapToGrid w:val="0"/>
          <w:kern w:val="0"/>
          <w:szCs w:val="21"/>
          <w:highlight w:val="none"/>
        </w:rPr>
        <w:t>比选</w:t>
      </w:r>
      <w:r>
        <w:rPr>
          <w:rFonts w:hint="eastAsia" w:ascii="宋体" w:hAnsi="宋体"/>
          <w:snapToGrid w:val="0"/>
          <w:kern w:val="0"/>
          <w:szCs w:val="21"/>
          <w:highlight w:val="none"/>
          <w:lang w:val="zh-CN"/>
        </w:rPr>
        <w:t>活动前三年内，在经营活动中没有重大违法记录、</w:t>
      </w:r>
      <w:r>
        <w:rPr>
          <w:rFonts w:hint="eastAsia" w:ascii="宋体" w:hAnsi="宋体"/>
          <w:snapToGrid w:val="0"/>
          <w:kern w:val="0"/>
          <w:szCs w:val="21"/>
          <w:highlight w:val="none"/>
        </w:rPr>
        <w:t>公司满足</w:t>
      </w:r>
      <w:r>
        <w:rPr>
          <w:rFonts w:hint="eastAsia" w:ascii="宋体" w:hAnsi="宋体"/>
          <w:snapToGrid w:val="0"/>
          <w:kern w:val="0"/>
          <w:szCs w:val="21"/>
          <w:highlight w:val="none"/>
          <w:lang w:val="zh-CN"/>
        </w:rPr>
        <w:t>法律、行政法规规定的其他条件</w:t>
      </w:r>
      <w:r>
        <w:rPr>
          <w:rFonts w:hint="eastAsia" w:ascii="宋体" w:hAnsi="宋体"/>
          <w:snapToGrid w:val="0"/>
          <w:kern w:val="0"/>
          <w:szCs w:val="21"/>
          <w:highlight w:val="none"/>
        </w:rPr>
        <w:t>。</w:t>
      </w:r>
    </w:p>
    <w:p w14:paraId="5393E0FF">
      <w:pPr>
        <w:snapToGrid w:val="0"/>
        <w:spacing w:line="400" w:lineRule="exact"/>
        <w:ind w:firstLine="420" w:firstLineChars="200"/>
        <w:rPr>
          <w:rFonts w:ascii="宋体" w:hAnsi="宋体"/>
          <w:szCs w:val="21"/>
          <w:highlight w:val="none"/>
        </w:rPr>
      </w:pPr>
      <w:r>
        <w:rPr>
          <w:rFonts w:hint="eastAsia" w:ascii="宋体" w:hAnsi="宋体"/>
          <w:szCs w:val="21"/>
          <w:highlight w:val="none"/>
        </w:rPr>
        <w:t>2.比选人就比选文件要求的工期、质量、合同主要条款、参选有效期等所有要求公司进行完全响应。</w:t>
      </w:r>
    </w:p>
    <w:p w14:paraId="2699DFD8">
      <w:pPr>
        <w:snapToGrid w:val="0"/>
        <w:spacing w:line="400" w:lineRule="exact"/>
        <w:ind w:firstLine="420" w:firstLineChars="200"/>
        <w:rPr>
          <w:rFonts w:ascii="宋体" w:hAnsi="宋体"/>
          <w:szCs w:val="21"/>
          <w:highlight w:val="none"/>
        </w:rPr>
      </w:pPr>
      <w:r>
        <w:rPr>
          <w:rFonts w:hint="eastAsia" w:ascii="宋体" w:hAnsi="宋体"/>
          <w:szCs w:val="21"/>
          <w:highlight w:val="none"/>
        </w:rPr>
        <w:t>3.不向比选人提出就本次比选所有事项签订合同或协议文件的任何要求。</w:t>
      </w:r>
    </w:p>
    <w:p w14:paraId="780CAF28">
      <w:pPr>
        <w:snapToGrid w:val="0"/>
        <w:spacing w:line="400" w:lineRule="exact"/>
        <w:ind w:firstLine="420" w:firstLineChars="200"/>
        <w:rPr>
          <w:rFonts w:ascii="宋体" w:hAnsi="宋体"/>
          <w:szCs w:val="21"/>
          <w:highlight w:val="none"/>
        </w:rPr>
      </w:pPr>
      <w:r>
        <w:rPr>
          <w:rFonts w:hint="eastAsia" w:ascii="宋体" w:hAnsi="宋体"/>
          <w:szCs w:val="21"/>
          <w:highlight w:val="none"/>
        </w:rPr>
        <w:t>4.不向比选人就本次比选提出任何形式的费用补偿要求。</w:t>
      </w:r>
    </w:p>
    <w:p w14:paraId="6AA888AC">
      <w:pPr>
        <w:snapToGrid w:val="0"/>
        <w:spacing w:line="400" w:lineRule="exact"/>
        <w:ind w:firstLine="420" w:firstLineChars="200"/>
        <w:rPr>
          <w:rFonts w:ascii="宋体" w:hAnsi="宋体"/>
          <w:szCs w:val="21"/>
          <w:highlight w:val="none"/>
        </w:rPr>
      </w:pPr>
      <w:r>
        <w:rPr>
          <w:rFonts w:hint="eastAsia" w:ascii="宋体" w:hAnsi="宋体"/>
          <w:szCs w:val="21"/>
          <w:highlight w:val="none"/>
        </w:rPr>
        <w:t>5.公司同意比选人及其指定的单位享有我公司所提交服务方案成果的知识产权，同意比选人及其指定的单位对我公司本次所提交的文件拥有使用权和处置权。</w:t>
      </w:r>
    </w:p>
    <w:p w14:paraId="279F3A9A">
      <w:pPr>
        <w:snapToGrid w:val="0"/>
        <w:spacing w:line="400" w:lineRule="exact"/>
        <w:ind w:firstLine="420" w:firstLineChars="200"/>
        <w:rPr>
          <w:rFonts w:ascii="宋体" w:hAnsi="宋体"/>
          <w:szCs w:val="21"/>
          <w:highlight w:val="none"/>
        </w:rPr>
      </w:pPr>
      <w:r>
        <w:rPr>
          <w:rFonts w:hint="eastAsia" w:ascii="宋体" w:hAnsi="宋体"/>
          <w:szCs w:val="21"/>
          <w:highlight w:val="none"/>
        </w:rPr>
        <w:t>6.公司同意</w:t>
      </w:r>
      <w:r>
        <w:rPr>
          <w:rFonts w:ascii="宋体" w:hAnsi="宋体"/>
          <w:szCs w:val="21"/>
          <w:highlight w:val="none"/>
        </w:rPr>
        <w:t>本次</w:t>
      </w:r>
      <w:r>
        <w:rPr>
          <w:rFonts w:hint="eastAsia" w:ascii="宋体" w:hAnsi="宋体"/>
          <w:szCs w:val="21"/>
          <w:highlight w:val="none"/>
        </w:rPr>
        <w:t>比选提交的服务方案</w:t>
      </w:r>
      <w:r>
        <w:rPr>
          <w:rFonts w:ascii="宋体" w:hAnsi="宋体"/>
          <w:szCs w:val="21"/>
          <w:highlight w:val="none"/>
        </w:rPr>
        <w:t>版权归</w:t>
      </w:r>
      <w:r>
        <w:rPr>
          <w:rFonts w:hint="eastAsia" w:ascii="宋体" w:hAnsi="宋体"/>
          <w:szCs w:val="21"/>
          <w:highlight w:val="none"/>
        </w:rPr>
        <w:t>比选人及其指定的单位</w:t>
      </w:r>
      <w:r>
        <w:rPr>
          <w:rFonts w:ascii="宋体" w:hAnsi="宋体"/>
          <w:szCs w:val="21"/>
          <w:highlight w:val="none"/>
        </w:rPr>
        <w:t>所有，</w:t>
      </w:r>
      <w:r>
        <w:rPr>
          <w:rFonts w:hint="eastAsia" w:ascii="宋体" w:hAnsi="宋体"/>
          <w:szCs w:val="21"/>
          <w:highlight w:val="none"/>
        </w:rPr>
        <w:t>比选人及其指定的单位</w:t>
      </w:r>
      <w:r>
        <w:rPr>
          <w:rFonts w:ascii="宋体" w:hAnsi="宋体"/>
          <w:szCs w:val="21"/>
          <w:highlight w:val="none"/>
        </w:rPr>
        <w:t>可进行展览、印刷、出版、使用等。</w:t>
      </w:r>
    </w:p>
    <w:p w14:paraId="71957459">
      <w:pPr>
        <w:snapToGrid w:val="0"/>
        <w:spacing w:line="400" w:lineRule="exact"/>
        <w:ind w:firstLine="420" w:firstLineChars="200"/>
        <w:rPr>
          <w:rFonts w:ascii="宋体" w:hAnsi="宋体"/>
          <w:szCs w:val="21"/>
          <w:highlight w:val="none"/>
        </w:rPr>
      </w:pPr>
      <w:r>
        <w:rPr>
          <w:rFonts w:hint="eastAsia" w:ascii="宋体" w:hAnsi="宋体"/>
          <w:szCs w:val="21"/>
          <w:highlight w:val="none"/>
        </w:rPr>
        <w:t>7.我公司</w:t>
      </w:r>
      <w:r>
        <w:rPr>
          <w:rFonts w:ascii="宋体" w:hAnsi="宋体"/>
          <w:szCs w:val="21"/>
          <w:highlight w:val="none"/>
        </w:rPr>
        <w:t>在</w:t>
      </w:r>
      <w:r>
        <w:rPr>
          <w:rFonts w:hint="eastAsia" w:ascii="宋体" w:hAnsi="宋体"/>
          <w:szCs w:val="21"/>
          <w:highlight w:val="none"/>
        </w:rPr>
        <w:t>参选文件编制</w:t>
      </w:r>
      <w:r>
        <w:rPr>
          <w:rFonts w:ascii="宋体" w:hAnsi="宋体"/>
          <w:szCs w:val="21"/>
          <w:highlight w:val="none"/>
        </w:rPr>
        <w:t>过程中使用的</w:t>
      </w:r>
      <w:r>
        <w:rPr>
          <w:rFonts w:hint="eastAsia" w:ascii="宋体" w:hAnsi="宋体"/>
          <w:szCs w:val="21"/>
          <w:highlight w:val="none"/>
        </w:rPr>
        <w:t>比选人</w:t>
      </w:r>
      <w:r>
        <w:rPr>
          <w:rFonts w:ascii="宋体" w:hAnsi="宋体"/>
          <w:szCs w:val="21"/>
          <w:highlight w:val="none"/>
        </w:rPr>
        <w:t>提供的有关文件及资料不得用于本次</w:t>
      </w:r>
      <w:r>
        <w:rPr>
          <w:rFonts w:hint="eastAsia" w:ascii="宋体" w:hAnsi="宋体"/>
          <w:szCs w:val="21"/>
          <w:highlight w:val="none"/>
        </w:rPr>
        <w:t>比选</w:t>
      </w:r>
      <w:r>
        <w:rPr>
          <w:rFonts w:ascii="宋体" w:hAnsi="宋体"/>
          <w:szCs w:val="21"/>
          <w:highlight w:val="none"/>
        </w:rPr>
        <w:t>工作以外。</w:t>
      </w:r>
    </w:p>
    <w:p w14:paraId="33E458D4">
      <w:pPr>
        <w:snapToGrid w:val="0"/>
        <w:spacing w:line="400" w:lineRule="exact"/>
        <w:ind w:firstLine="420" w:firstLineChars="200"/>
        <w:rPr>
          <w:rFonts w:ascii="宋体" w:hAnsi="宋体"/>
          <w:szCs w:val="21"/>
          <w:highlight w:val="none"/>
        </w:rPr>
      </w:pPr>
    </w:p>
    <w:p w14:paraId="338C1F76">
      <w:pPr>
        <w:snapToGrid w:val="0"/>
        <w:spacing w:line="400" w:lineRule="exact"/>
        <w:ind w:firstLine="420" w:firstLineChars="200"/>
        <w:rPr>
          <w:rFonts w:ascii="宋体" w:hAnsi="宋体"/>
          <w:szCs w:val="21"/>
          <w:highlight w:val="none"/>
        </w:rPr>
      </w:pPr>
    </w:p>
    <w:p w14:paraId="43616E8A">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p w14:paraId="1B04D117">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参  选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盖单位公章</w:t>
      </w:r>
      <w:r>
        <w:rPr>
          <w:rFonts w:ascii="宋体" w:hAnsi="宋体"/>
          <w:kern w:val="0"/>
          <w:szCs w:val="21"/>
          <w:highlight w:val="none"/>
        </w:rPr>
        <w:t>）</w:t>
      </w:r>
    </w:p>
    <w:p w14:paraId="68C0D969">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（签字或盖章）</w:t>
      </w:r>
    </w:p>
    <w:p w14:paraId="7907042E">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19AF8903">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5A85904C">
      <w:pPr>
        <w:keepNext w:val="0"/>
        <w:keepLines w:val="0"/>
        <w:spacing w:after="0" w:line="240" w:lineRule="auto"/>
        <w:jc w:val="left"/>
        <w:outlineLvl w:val="9"/>
        <w:rPr>
          <w:rFonts w:hint="eastAsia" w:ascii="宋体" w:hAnsi="宋体"/>
          <w:b/>
          <w:bCs/>
          <w:sz w:val="32"/>
          <w:szCs w:val="32"/>
          <w:highlight w:val="none"/>
          <w:lang w:val="en-US" w:eastAsia="zh-CN"/>
        </w:rPr>
      </w:pPr>
      <w:r>
        <w:rPr>
          <w:highlight w:val="none"/>
        </w:rPr>
        <w:br w:type="page"/>
      </w:r>
      <w:r>
        <w:rPr>
          <w:rFonts w:hint="eastAsia" w:ascii="宋体" w:hAnsi="宋体"/>
          <w:b/>
          <w:bCs/>
          <w:sz w:val="32"/>
          <w:szCs w:val="32"/>
          <w:highlight w:val="none"/>
          <w:lang w:val="en-US" w:eastAsia="zh-CN"/>
        </w:rPr>
        <w:t xml:space="preserve">            </w:t>
      </w:r>
      <w:r>
        <w:rPr>
          <w:rFonts w:hint="eastAsia" w:ascii="宋体" w:hAnsi="宋体"/>
          <w:b/>
          <w:bCs/>
          <w:sz w:val="32"/>
          <w:szCs w:val="32"/>
          <w:highlight w:val="none"/>
          <w:lang w:eastAsia="zh-CN"/>
        </w:rPr>
        <w:t>（</w:t>
      </w:r>
      <w:r>
        <w:rPr>
          <w:rFonts w:hint="eastAsia" w:ascii="宋体" w:hAnsi="宋体"/>
          <w:b/>
          <w:bCs/>
          <w:sz w:val="32"/>
          <w:szCs w:val="32"/>
          <w:highlight w:val="none"/>
          <w:lang w:val="en-US" w:eastAsia="zh-CN"/>
        </w:rPr>
        <w:t>四</w:t>
      </w:r>
      <w:r>
        <w:rPr>
          <w:rFonts w:hint="eastAsia" w:ascii="宋体" w:hAnsi="宋体"/>
          <w:b/>
          <w:bCs/>
          <w:sz w:val="32"/>
          <w:szCs w:val="32"/>
          <w:highlight w:val="none"/>
          <w:lang w:eastAsia="zh-CN"/>
        </w:rPr>
        <w:t>）</w:t>
      </w:r>
      <w:r>
        <w:rPr>
          <w:rFonts w:hint="eastAsia" w:ascii="宋体" w:hAnsi="宋体"/>
          <w:b/>
          <w:bCs/>
          <w:sz w:val="32"/>
          <w:szCs w:val="32"/>
          <w:highlight w:val="none"/>
          <w:lang w:val="en-US" w:eastAsia="zh-CN"/>
        </w:rPr>
        <w:t>联合体协议书（如有）</w:t>
      </w:r>
    </w:p>
    <w:p w14:paraId="51487DCD">
      <w:pPr>
        <w:pStyle w:val="7"/>
        <w:jc w:val="left"/>
        <w:rPr>
          <w:rFonts w:ascii="宋体" w:hAnsi="宋体"/>
          <w:snapToGrid w:val="0"/>
          <w:kern w:val="0"/>
          <w:szCs w:val="21"/>
        </w:rPr>
      </w:pP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（所有成员单位名称）自愿组成联合体，共同参加</w:t>
      </w:r>
      <w:r>
        <w:rPr>
          <w:rFonts w:hint="eastAsia" w:ascii="宋体" w:hAnsi="宋体" w:eastAsia="宋体" w:cs="Times New Roman"/>
          <w:snapToGrid w:val="0"/>
          <w:kern w:val="0"/>
          <w:szCs w:val="21"/>
          <w:highlight w:val="none"/>
          <w:u w:val="single"/>
          <w:lang w:val="en-US" w:eastAsia="zh-CN"/>
        </w:rPr>
        <w:t>阿依河景区非遗工坊改造及环境布置EPC工程施工</w:t>
      </w:r>
      <w:r>
        <w:rPr>
          <w:rFonts w:hint="eastAsia" w:ascii="宋体" w:hAnsi="宋体"/>
          <w:snapToGrid w:val="0"/>
          <w:kern w:val="0"/>
          <w:szCs w:val="21"/>
          <w:lang w:val="en-US" w:eastAsia="zh-CN"/>
        </w:rPr>
        <w:t>参选</w:t>
      </w:r>
      <w:r>
        <w:rPr>
          <w:rFonts w:ascii="宋体" w:hAnsi="宋体"/>
          <w:snapToGrid w:val="0"/>
          <w:kern w:val="0"/>
          <w:szCs w:val="21"/>
        </w:rPr>
        <w:t>。现就联合体投标事宜订立如下协议。</w:t>
      </w:r>
    </w:p>
    <w:p w14:paraId="7F0BEC44">
      <w:pPr>
        <w:tabs>
          <w:tab w:val="left" w:pos="3465"/>
          <w:tab w:val="left" w:pos="4200"/>
        </w:tabs>
        <w:autoSpaceDE w:val="0"/>
        <w:autoSpaceDN w:val="0"/>
        <w:adjustRightInd w:val="0"/>
        <w:snapToGrid w:val="0"/>
        <w:spacing w:line="466" w:lineRule="exact"/>
        <w:ind w:firstLine="405" w:firstLineChars="193"/>
        <w:jc w:val="left"/>
        <w:rPr>
          <w:rFonts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（某成员单位名称）</w:t>
      </w:r>
      <w:r>
        <w:rPr>
          <w:rFonts w:hint="eastAsia" w:ascii="宋体" w:hAnsi="宋体"/>
          <w:snapToGrid w:val="0"/>
          <w:kern w:val="0"/>
          <w:szCs w:val="21"/>
        </w:rPr>
        <w:t>为</w:t>
      </w:r>
      <w:r>
        <w:rPr>
          <w:rFonts w:ascii="宋体" w:hAnsi="宋体"/>
          <w:snapToGrid w:val="0"/>
          <w:kern w:val="0"/>
          <w:szCs w:val="21"/>
          <w:u w:val="single"/>
        </w:rPr>
        <w:tab/>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（项目名称）联合体牵头人。</w:t>
      </w:r>
    </w:p>
    <w:p w14:paraId="75241ABE">
      <w:pPr>
        <w:autoSpaceDE w:val="0"/>
        <w:autoSpaceDN w:val="0"/>
        <w:adjustRightInd w:val="0"/>
        <w:snapToGrid w:val="0"/>
        <w:spacing w:line="466" w:lineRule="exact"/>
        <w:ind w:firstLine="420"/>
        <w:rPr>
          <w:rFonts w:ascii="宋体" w:hAnsi="宋体"/>
          <w:snapToGrid w:val="0"/>
          <w:kern w:val="0"/>
          <w:szCs w:val="21"/>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联合体牵头人合法代表联合体各成员负责本</w:t>
      </w:r>
      <w:r>
        <w:rPr>
          <w:rFonts w:hint="eastAsia" w:ascii="宋体" w:hAnsi="宋体"/>
          <w:snapToGrid w:val="0"/>
          <w:kern w:val="0"/>
          <w:szCs w:val="21"/>
          <w:lang w:eastAsia="zh-CN"/>
        </w:rPr>
        <w:t>比选项目参选文件</w:t>
      </w:r>
      <w:r>
        <w:rPr>
          <w:rFonts w:ascii="宋体" w:hAnsi="宋体"/>
          <w:snapToGrid w:val="0"/>
          <w:kern w:val="0"/>
          <w:szCs w:val="21"/>
        </w:rPr>
        <w:t>编制和合同谈判活动，并代表联合体提交和接收相关的资料、信息及指示，并处理与之有关的一切事务，负责合同实施阶段的主办、组织和协调工作。</w:t>
      </w:r>
    </w:p>
    <w:p w14:paraId="30A3F844">
      <w:pPr>
        <w:autoSpaceDE w:val="0"/>
        <w:autoSpaceDN w:val="0"/>
        <w:adjustRightInd w:val="0"/>
        <w:snapToGrid w:val="0"/>
        <w:spacing w:line="466" w:lineRule="exact"/>
        <w:ind w:firstLine="420"/>
        <w:jc w:val="left"/>
        <w:rPr>
          <w:rFonts w:ascii="宋体" w:hAnsi="宋体"/>
          <w:snapToGrid w:val="0"/>
          <w:kern w:val="0"/>
          <w:szCs w:val="21"/>
        </w:rPr>
      </w:pPr>
      <w:r>
        <w:rPr>
          <w:rFonts w:ascii="宋体" w:hAnsi="宋体"/>
          <w:snapToGrid w:val="0"/>
          <w:kern w:val="0"/>
          <w:szCs w:val="21"/>
        </w:rPr>
        <w:t>3.</w:t>
      </w:r>
      <w:r>
        <w:rPr>
          <w:rFonts w:hint="eastAsia" w:ascii="宋体" w:hAnsi="宋体"/>
          <w:snapToGrid w:val="0"/>
          <w:kern w:val="0"/>
          <w:szCs w:val="21"/>
        </w:rPr>
        <w:t xml:space="preserve"> </w:t>
      </w:r>
      <w:r>
        <w:rPr>
          <w:rFonts w:ascii="宋体" w:hAnsi="宋体"/>
          <w:snapToGrid w:val="0"/>
          <w:kern w:val="0"/>
          <w:szCs w:val="21"/>
        </w:rPr>
        <w:t>联合体将严格按照</w:t>
      </w:r>
      <w:r>
        <w:rPr>
          <w:rFonts w:hint="eastAsia" w:ascii="宋体" w:hAnsi="宋体"/>
          <w:snapToGrid w:val="0"/>
          <w:kern w:val="0"/>
          <w:szCs w:val="21"/>
          <w:lang w:eastAsia="zh-CN"/>
        </w:rPr>
        <w:t>比选文件</w:t>
      </w:r>
      <w:r>
        <w:rPr>
          <w:rFonts w:ascii="宋体" w:hAnsi="宋体"/>
          <w:snapToGrid w:val="0"/>
          <w:kern w:val="0"/>
          <w:szCs w:val="21"/>
        </w:rPr>
        <w:t>的各项要求，递交</w:t>
      </w:r>
      <w:r>
        <w:rPr>
          <w:rFonts w:hint="eastAsia" w:ascii="宋体" w:hAnsi="宋体"/>
          <w:snapToGrid w:val="0"/>
          <w:kern w:val="0"/>
          <w:szCs w:val="21"/>
          <w:lang w:eastAsia="zh-CN"/>
        </w:rPr>
        <w:t>参选文件</w:t>
      </w:r>
      <w:r>
        <w:rPr>
          <w:rFonts w:ascii="宋体" w:hAnsi="宋体"/>
          <w:snapToGrid w:val="0"/>
          <w:kern w:val="0"/>
          <w:szCs w:val="21"/>
        </w:rPr>
        <w:t>，履行合同，并对外承担连带责任。</w:t>
      </w:r>
    </w:p>
    <w:p w14:paraId="56E19398">
      <w:pPr>
        <w:autoSpaceDE w:val="0"/>
        <w:autoSpaceDN w:val="0"/>
        <w:adjustRightInd w:val="0"/>
        <w:spacing w:line="466" w:lineRule="exact"/>
        <w:ind w:firstLine="420" w:firstLineChars="200"/>
        <w:jc w:val="left"/>
        <w:rPr>
          <w:rFonts w:ascii="宋体" w:hAnsi="宋体"/>
          <w:kern w:val="0"/>
          <w:szCs w:val="21"/>
        </w:rPr>
      </w:pPr>
      <w:r>
        <w:rPr>
          <w:rFonts w:ascii="宋体" w:hAnsi="宋体"/>
          <w:kern w:val="0"/>
          <w:szCs w:val="21"/>
        </w:rPr>
        <w:t>4.</w:t>
      </w:r>
      <w:r>
        <w:rPr>
          <w:rFonts w:hint="eastAsia" w:ascii="宋体" w:hAnsi="宋体"/>
          <w:kern w:val="0"/>
          <w:szCs w:val="21"/>
        </w:rPr>
        <w:t xml:space="preserve"> </w:t>
      </w:r>
      <w:r>
        <w:rPr>
          <w:rFonts w:ascii="宋体" w:hAnsi="宋体"/>
          <w:kern w:val="0"/>
          <w:szCs w:val="21"/>
        </w:rPr>
        <w:t>联合体牵头人代表联合体签署</w:t>
      </w:r>
      <w:r>
        <w:rPr>
          <w:rFonts w:hint="eastAsia" w:ascii="宋体" w:hAnsi="宋体"/>
          <w:kern w:val="0"/>
          <w:szCs w:val="21"/>
          <w:lang w:eastAsia="zh-CN"/>
        </w:rPr>
        <w:t>参选文件</w:t>
      </w:r>
      <w:r>
        <w:rPr>
          <w:rFonts w:ascii="宋体" w:hAnsi="宋体"/>
          <w:spacing w:val="-19"/>
          <w:kern w:val="0"/>
          <w:szCs w:val="21"/>
        </w:rPr>
        <w:t>，</w:t>
      </w:r>
      <w:r>
        <w:rPr>
          <w:rFonts w:ascii="宋体" w:hAnsi="宋体"/>
          <w:kern w:val="0"/>
          <w:szCs w:val="21"/>
        </w:rPr>
        <w:t>联合体牵头人的所有承诺均认为代表了联合体各成员。</w:t>
      </w:r>
    </w:p>
    <w:p w14:paraId="4C82423A">
      <w:pPr>
        <w:tabs>
          <w:tab w:val="left" w:pos="2020"/>
          <w:tab w:val="left" w:pos="4680"/>
          <w:tab w:val="left" w:pos="7640"/>
          <w:tab w:val="left" w:pos="7820"/>
        </w:tabs>
        <w:autoSpaceDE w:val="0"/>
        <w:autoSpaceDN w:val="0"/>
        <w:adjustRightInd w:val="0"/>
        <w:spacing w:line="466" w:lineRule="exact"/>
        <w:ind w:firstLine="420" w:firstLineChars="200"/>
        <w:jc w:val="left"/>
        <w:rPr>
          <w:rFonts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联合体各成员单位内部的职责分工如下：</w:t>
      </w:r>
    </w:p>
    <w:tbl>
      <w:tblPr>
        <w:tblStyle w:val="15"/>
        <w:tblW w:w="8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410"/>
        <w:gridCol w:w="2059"/>
      </w:tblGrid>
      <w:tr w14:paraId="36EE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06D58A58">
            <w:pPr>
              <w:autoSpaceDE w:val="0"/>
              <w:autoSpaceDN w:val="0"/>
              <w:adjustRightInd w:val="0"/>
              <w:snapToGrid w:val="0"/>
              <w:spacing w:line="500" w:lineRule="exact"/>
              <w:jc w:val="center"/>
              <w:rPr>
                <w:rFonts w:ascii="宋体" w:hAnsi="宋体"/>
                <w:snapToGrid w:val="0"/>
                <w:kern w:val="0"/>
                <w:szCs w:val="21"/>
              </w:rPr>
            </w:pPr>
            <w:r>
              <w:rPr>
                <w:rFonts w:hint="eastAsia" w:ascii="宋体" w:hAnsi="宋体"/>
                <w:snapToGrid w:val="0"/>
                <w:kern w:val="0"/>
                <w:szCs w:val="21"/>
              </w:rPr>
              <w:t>联合体成员</w:t>
            </w:r>
            <w:r>
              <w:rPr>
                <w:rFonts w:ascii="宋体" w:hAnsi="宋体"/>
                <w:snapToGrid w:val="0"/>
                <w:kern w:val="0"/>
                <w:szCs w:val="21"/>
              </w:rPr>
              <w:t>名称</w:t>
            </w:r>
          </w:p>
        </w:tc>
        <w:tc>
          <w:tcPr>
            <w:tcW w:w="2410" w:type="dxa"/>
            <w:noWrap w:val="0"/>
            <w:vAlign w:val="top"/>
          </w:tcPr>
          <w:p w14:paraId="673D2F4D">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5E25329B">
            <w:pPr>
              <w:autoSpaceDE w:val="0"/>
              <w:autoSpaceDN w:val="0"/>
              <w:adjustRightInd w:val="0"/>
              <w:snapToGrid w:val="0"/>
              <w:spacing w:line="500" w:lineRule="exact"/>
              <w:jc w:val="center"/>
              <w:rPr>
                <w:rFonts w:ascii="宋体" w:hAnsi="宋体"/>
                <w:snapToGrid w:val="0"/>
                <w:kern w:val="0"/>
                <w:szCs w:val="21"/>
              </w:rPr>
            </w:pPr>
            <w:r>
              <w:rPr>
                <w:rFonts w:ascii="宋体" w:hAnsi="宋体"/>
                <w:snapToGrid w:val="0"/>
                <w:kern w:val="0"/>
                <w:szCs w:val="21"/>
              </w:rPr>
              <w:t>职责分工</w:t>
            </w:r>
          </w:p>
        </w:tc>
      </w:tr>
      <w:tr w14:paraId="07CA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50393FE7">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联合体牵头人名称</w:t>
            </w:r>
          </w:p>
        </w:tc>
        <w:tc>
          <w:tcPr>
            <w:tcW w:w="2410" w:type="dxa"/>
            <w:noWrap w:val="0"/>
            <w:vAlign w:val="top"/>
          </w:tcPr>
          <w:p w14:paraId="2CDDF6AA">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442DBAF5">
            <w:pPr>
              <w:autoSpaceDE w:val="0"/>
              <w:autoSpaceDN w:val="0"/>
              <w:adjustRightInd w:val="0"/>
              <w:snapToGrid w:val="0"/>
              <w:spacing w:line="500" w:lineRule="exact"/>
              <w:ind w:firstLine="420"/>
              <w:jc w:val="left"/>
              <w:rPr>
                <w:rFonts w:ascii="宋体" w:hAnsi="宋体"/>
                <w:snapToGrid w:val="0"/>
                <w:kern w:val="0"/>
                <w:szCs w:val="21"/>
              </w:rPr>
            </w:pPr>
          </w:p>
        </w:tc>
      </w:tr>
      <w:tr w14:paraId="248F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noWrap w:val="0"/>
            <w:vAlign w:val="top"/>
          </w:tcPr>
          <w:p w14:paraId="09DCC2B5">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联合体其他成员单位一名称</w:t>
            </w:r>
          </w:p>
        </w:tc>
        <w:tc>
          <w:tcPr>
            <w:tcW w:w="2410" w:type="dxa"/>
            <w:noWrap w:val="0"/>
            <w:vAlign w:val="top"/>
          </w:tcPr>
          <w:p w14:paraId="23D17242">
            <w:pPr>
              <w:autoSpaceDE w:val="0"/>
              <w:autoSpaceDN w:val="0"/>
              <w:adjustRightInd w:val="0"/>
              <w:snapToGrid w:val="0"/>
              <w:spacing w:line="500" w:lineRule="exact"/>
              <w:ind w:firstLine="420"/>
              <w:jc w:val="left"/>
              <w:rPr>
                <w:rFonts w:ascii="宋体" w:hAnsi="宋体"/>
                <w:snapToGrid w:val="0"/>
                <w:kern w:val="0"/>
                <w:szCs w:val="21"/>
              </w:rPr>
            </w:pPr>
            <w:r>
              <w:rPr>
                <w:rFonts w:ascii="宋体" w:hAnsi="宋体"/>
                <w:snapToGrid w:val="0"/>
                <w:kern w:val="0"/>
                <w:szCs w:val="21"/>
              </w:rPr>
              <w:t>社会信用代码</w:t>
            </w:r>
          </w:p>
        </w:tc>
        <w:tc>
          <w:tcPr>
            <w:tcW w:w="2059" w:type="dxa"/>
            <w:noWrap w:val="0"/>
            <w:vAlign w:val="top"/>
          </w:tcPr>
          <w:p w14:paraId="3A4C8C7E">
            <w:pPr>
              <w:autoSpaceDE w:val="0"/>
              <w:autoSpaceDN w:val="0"/>
              <w:adjustRightInd w:val="0"/>
              <w:snapToGrid w:val="0"/>
              <w:spacing w:line="500" w:lineRule="exact"/>
              <w:ind w:firstLine="420"/>
              <w:jc w:val="left"/>
              <w:rPr>
                <w:rFonts w:ascii="宋体" w:hAnsi="宋体"/>
                <w:snapToGrid w:val="0"/>
                <w:kern w:val="0"/>
                <w:szCs w:val="21"/>
              </w:rPr>
            </w:pPr>
          </w:p>
        </w:tc>
      </w:tr>
    </w:tbl>
    <w:p w14:paraId="74A5E371">
      <w:pPr>
        <w:tabs>
          <w:tab w:val="left" w:pos="2020"/>
          <w:tab w:val="left" w:pos="4680"/>
          <w:tab w:val="left" w:pos="7640"/>
          <w:tab w:val="left" w:pos="7820"/>
        </w:tabs>
        <w:autoSpaceDE w:val="0"/>
        <w:autoSpaceDN w:val="0"/>
        <w:adjustRightIn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6.由联合体牵头人委派本项目的委托代理人。</w:t>
      </w:r>
    </w:p>
    <w:p w14:paraId="368B951E">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7.</w:t>
      </w:r>
      <w:r>
        <w:rPr>
          <w:rFonts w:hint="eastAsia" w:ascii="宋体" w:hAnsi="宋体"/>
          <w:spacing w:val="-1"/>
          <w:kern w:val="0"/>
          <w:szCs w:val="21"/>
          <w:lang w:val="en-US" w:eastAsia="zh-CN"/>
        </w:rPr>
        <w:t>比选</w:t>
      </w:r>
      <w:r>
        <w:rPr>
          <w:rFonts w:hint="eastAsia" w:ascii="宋体" w:hAnsi="宋体"/>
          <w:spacing w:val="-1"/>
          <w:kern w:val="0"/>
          <w:szCs w:val="21"/>
        </w:rPr>
        <w:t>工作和联合体在</w:t>
      </w:r>
      <w:r>
        <w:rPr>
          <w:rFonts w:hint="eastAsia" w:ascii="宋体" w:hAnsi="宋体"/>
          <w:spacing w:val="-1"/>
          <w:kern w:val="0"/>
          <w:szCs w:val="21"/>
          <w:lang w:val="en-US" w:eastAsia="zh-CN"/>
        </w:rPr>
        <w:t>中选</w:t>
      </w:r>
      <w:r>
        <w:rPr>
          <w:rFonts w:hint="eastAsia" w:ascii="宋体" w:hAnsi="宋体"/>
          <w:spacing w:val="-1"/>
          <w:kern w:val="0"/>
          <w:szCs w:val="21"/>
        </w:rPr>
        <w:t>后工程实施过程中的有关费用按各自承担的工作量分摊。</w:t>
      </w:r>
    </w:p>
    <w:p w14:paraId="0799F9BE">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8.本协议书自签署之日起生效，合同履行完毕后自动失效。</w:t>
      </w:r>
    </w:p>
    <w:p w14:paraId="798E76CA">
      <w:pPr>
        <w:autoSpaceDE w:val="0"/>
        <w:autoSpaceDN w:val="0"/>
        <w:adjustRightInd w:val="0"/>
        <w:snapToGrid w:val="0"/>
        <w:spacing w:line="466" w:lineRule="exact"/>
        <w:ind w:firstLine="420"/>
        <w:jc w:val="left"/>
        <w:rPr>
          <w:rFonts w:ascii="宋体" w:hAnsi="宋体"/>
          <w:spacing w:val="-1"/>
          <w:kern w:val="0"/>
          <w:szCs w:val="21"/>
        </w:rPr>
      </w:pPr>
      <w:r>
        <w:rPr>
          <w:rFonts w:hint="eastAsia" w:ascii="宋体" w:hAnsi="宋体"/>
          <w:spacing w:val="-1"/>
          <w:kern w:val="0"/>
          <w:szCs w:val="21"/>
        </w:rPr>
        <w:t>9.本协议书一式</w:t>
      </w:r>
      <w:r>
        <w:rPr>
          <w:rFonts w:hint="eastAsia" w:ascii="宋体" w:hAnsi="宋体"/>
          <w:spacing w:val="-1"/>
          <w:kern w:val="0"/>
          <w:szCs w:val="21"/>
          <w:u w:val="single"/>
          <w:lang w:val="en-US" w:eastAsia="zh-CN"/>
        </w:rPr>
        <w:t>三</w:t>
      </w:r>
      <w:r>
        <w:rPr>
          <w:rFonts w:hint="eastAsia" w:ascii="宋体" w:hAnsi="宋体"/>
          <w:spacing w:val="-1"/>
          <w:kern w:val="0"/>
          <w:szCs w:val="21"/>
        </w:rPr>
        <w:t>份，联合体成员和</w:t>
      </w:r>
      <w:r>
        <w:rPr>
          <w:rFonts w:hint="eastAsia" w:ascii="宋体" w:hAnsi="宋体"/>
          <w:spacing w:val="-1"/>
          <w:kern w:val="0"/>
          <w:szCs w:val="21"/>
          <w:lang w:val="en-US" w:eastAsia="zh-CN"/>
        </w:rPr>
        <w:t>比选</w:t>
      </w:r>
      <w:r>
        <w:rPr>
          <w:rFonts w:hint="eastAsia" w:ascii="宋体" w:hAnsi="宋体"/>
          <w:spacing w:val="-1"/>
          <w:kern w:val="0"/>
          <w:szCs w:val="21"/>
        </w:rPr>
        <w:t>人各执</w:t>
      </w:r>
      <w:r>
        <w:rPr>
          <w:rFonts w:hint="eastAsia" w:ascii="宋体" w:hAnsi="宋体"/>
          <w:spacing w:val="-1"/>
          <w:kern w:val="0"/>
          <w:szCs w:val="21"/>
          <w:u w:val="single"/>
          <w:lang w:val="en-US" w:eastAsia="zh-CN"/>
        </w:rPr>
        <w:t>一</w:t>
      </w:r>
      <w:r>
        <w:rPr>
          <w:rFonts w:hint="eastAsia" w:ascii="宋体" w:hAnsi="宋体"/>
          <w:spacing w:val="-1"/>
          <w:kern w:val="0"/>
          <w:szCs w:val="21"/>
        </w:rPr>
        <w:t>份。</w:t>
      </w:r>
    </w:p>
    <w:p w14:paraId="7A99D322">
      <w:pPr>
        <w:widowControl/>
        <w:jc w:val="left"/>
        <w:rPr>
          <w:rFonts w:ascii="宋体" w:hAnsi="宋体"/>
          <w:spacing w:val="-1"/>
          <w:kern w:val="0"/>
          <w:szCs w:val="21"/>
          <w:u w:val="single"/>
        </w:rPr>
      </w:pPr>
    </w:p>
    <w:p w14:paraId="5F95D41F">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牵头人名称：</w:t>
      </w:r>
      <w:r>
        <w:rPr>
          <w:rFonts w:hint="eastAsia" w:ascii="宋体" w:hAnsi="宋体"/>
          <w:spacing w:val="-1"/>
          <w:kern w:val="0"/>
          <w:szCs w:val="21"/>
          <w:u w:val="single"/>
        </w:rPr>
        <w:t xml:space="preserve">                                </w:t>
      </w:r>
      <w:r>
        <w:rPr>
          <w:rFonts w:hint="eastAsia" w:ascii="宋体" w:hAnsi="宋体"/>
          <w:spacing w:val="-1"/>
          <w:kern w:val="0"/>
          <w:szCs w:val="21"/>
        </w:rPr>
        <w:t>（盖单位法人章）</w:t>
      </w:r>
    </w:p>
    <w:p w14:paraId="2E20A569">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法定代表人或其委托代理人：</w:t>
      </w:r>
      <w:r>
        <w:rPr>
          <w:rFonts w:hint="eastAsia" w:ascii="宋体" w:hAnsi="宋体"/>
          <w:spacing w:val="-1"/>
          <w:kern w:val="0"/>
          <w:szCs w:val="21"/>
          <w:u w:val="single"/>
        </w:rPr>
        <w:t xml:space="preserve">                  </w:t>
      </w:r>
      <w:r>
        <w:rPr>
          <w:rFonts w:hint="eastAsia" w:ascii="宋体" w:hAnsi="宋体"/>
          <w:spacing w:val="-1"/>
          <w:kern w:val="0"/>
          <w:szCs w:val="21"/>
        </w:rPr>
        <w:t>（签名或盖章）</w:t>
      </w:r>
    </w:p>
    <w:p w14:paraId="53C1FFF2">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联合体其他成员单位一名称：</w:t>
      </w:r>
      <w:r>
        <w:rPr>
          <w:rFonts w:hint="eastAsia" w:ascii="宋体" w:hAnsi="宋体"/>
          <w:spacing w:val="-1"/>
          <w:kern w:val="0"/>
          <w:szCs w:val="21"/>
          <w:u w:val="single"/>
        </w:rPr>
        <w:t xml:space="preserve">                  </w:t>
      </w:r>
      <w:r>
        <w:rPr>
          <w:rFonts w:hint="eastAsia" w:ascii="宋体" w:hAnsi="宋体"/>
          <w:spacing w:val="-1"/>
          <w:kern w:val="0"/>
          <w:szCs w:val="21"/>
        </w:rPr>
        <w:t>（盖单位法人章）</w:t>
      </w:r>
    </w:p>
    <w:p w14:paraId="5C637221">
      <w:pPr>
        <w:tabs>
          <w:tab w:val="left" w:pos="4840"/>
        </w:tabs>
        <w:autoSpaceDE w:val="0"/>
        <w:autoSpaceDN w:val="0"/>
        <w:adjustRightInd w:val="0"/>
        <w:snapToGrid w:val="0"/>
        <w:spacing w:line="466" w:lineRule="exact"/>
        <w:ind w:firstLine="416" w:firstLineChars="200"/>
        <w:jc w:val="left"/>
        <w:rPr>
          <w:rFonts w:ascii="宋体" w:hAnsi="宋体"/>
          <w:spacing w:val="-1"/>
          <w:kern w:val="0"/>
          <w:szCs w:val="21"/>
        </w:rPr>
      </w:pPr>
      <w:r>
        <w:rPr>
          <w:rFonts w:hint="eastAsia" w:ascii="宋体" w:hAnsi="宋体"/>
          <w:spacing w:val="-1"/>
          <w:kern w:val="0"/>
          <w:szCs w:val="21"/>
        </w:rPr>
        <w:t>法定代表人或其委托代理人：</w:t>
      </w:r>
      <w:r>
        <w:rPr>
          <w:rFonts w:hint="eastAsia" w:ascii="宋体" w:hAnsi="宋体"/>
          <w:spacing w:val="-1"/>
          <w:kern w:val="0"/>
          <w:szCs w:val="21"/>
          <w:u w:val="single"/>
        </w:rPr>
        <w:t xml:space="preserve">                  </w:t>
      </w:r>
      <w:r>
        <w:rPr>
          <w:rFonts w:hint="eastAsia" w:ascii="宋体" w:hAnsi="宋体"/>
          <w:spacing w:val="-1"/>
          <w:kern w:val="0"/>
          <w:szCs w:val="21"/>
        </w:rPr>
        <w:t>（签名或盖章）</w:t>
      </w:r>
    </w:p>
    <w:p w14:paraId="3CE8765B">
      <w:pPr>
        <w:tabs>
          <w:tab w:val="left" w:pos="3840"/>
          <w:tab w:val="left" w:pos="4780"/>
          <w:tab w:val="left" w:pos="5720"/>
        </w:tabs>
        <w:wordWrap w:val="0"/>
        <w:autoSpaceDE w:val="0"/>
        <w:autoSpaceDN w:val="0"/>
        <w:adjustRightInd w:val="0"/>
        <w:snapToGrid w:val="0"/>
        <w:spacing w:line="466" w:lineRule="exact"/>
        <w:jc w:val="right"/>
        <w:rPr>
          <w:rFonts w:ascii="宋体" w:hAnsi="宋体"/>
          <w:kern w:val="0"/>
          <w:szCs w:val="21"/>
        </w:rPr>
      </w:pPr>
      <w:r>
        <w:rPr>
          <w:rFonts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05067321">
      <w:pPr>
        <w:pStyle w:val="5"/>
        <w:tabs>
          <w:tab w:val="left" w:pos="315"/>
        </w:tabs>
        <w:spacing w:line="466" w:lineRule="exact"/>
        <w:ind w:firstLine="0"/>
        <w:jc w:val="right"/>
        <w:rPr>
          <w:rFonts w:ascii="宋体" w:hAnsi="宋体" w:eastAsia="宋体"/>
          <w:sz w:val="21"/>
          <w:szCs w:val="21"/>
        </w:rPr>
      </w:pPr>
      <w:r>
        <mc:AlternateContent>
          <mc:Choice Requires="wps">
            <w:drawing>
              <wp:anchor distT="0" distB="0" distL="114300" distR="114300" simplePos="0" relativeHeight="251670528" behindDoc="0" locked="0" layoutInCell="1" allowOverlap="1">
                <wp:simplePos x="0" y="0"/>
                <wp:positionH relativeFrom="column">
                  <wp:posOffset>47625</wp:posOffset>
                </wp:positionH>
                <wp:positionV relativeFrom="paragraph">
                  <wp:posOffset>240030</wp:posOffset>
                </wp:positionV>
                <wp:extent cx="5470525" cy="0"/>
                <wp:effectExtent l="0" t="4445" r="0" b="5080"/>
                <wp:wrapNone/>
                <wp:docPr id="241" name="直接连接符 241"/>
                <wp:cNvGraphicFramePr/>
                <a:graphic xmlns:a="http://schemas.openxmlformats.org/drawingml/2006/main">
                  <a:graphicData uri="http://schemas.microsoft.com/office/word/2010/wordprocessingShape">
                    <wps:wsp>
                      <wps:cNvCnPr>
                        <a:cxnSpLocks noChangeShapeType="1"/>
                      </wps:cNvCnPr>
                      <wps:spPr bwMode="auto">
                        <a:xfrm>
                          <a:off x="0" y="0"/>
                          <a:ext cx="5470525" cy="0"/>
                        </a:xfrm>
                        <a:prstGeom prst="line">
                          <a:avLst/>
                        </a:prstGeom>
                        <a:noFill/>
                        <a:ln w="3175">
                          <a:solidFill>
                            <a:srgbClr val="000000"/>
                          </a:solidFill>
                          <a:round/>
                        </a:ln>
                        <a:effectLst/>
                      </wps:spPr>
                      <wps:bodyPr/>
                    </wps:wsp>
                  </a:graphicData>
                </a:graphic>
              </wp:anchor>
            </w:drawing>
          </mc:Choice>
          <mc:Fallback>
            <w:pict>
              <v:line id="_x0000_s1026" o:spid="_x0000_s1026" o:spt="20" style="position:absolute;left:0pt;margin-left:3.75pt;margin-top:18.9pt;height:0pt;width:430.75pt;z-index:251670528;mso-width-relative:page;mso-height-relative:page;" filled="f" stroked="t" coordsize="21600,21600" o:gfxdata="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HI&#10;MpfWAAAABwEAAA8AAAAAAAAAAQAgAAAAIgAAAGRycy9kb3ducmV2LnhtbFBLAQIUABQAAAAIAIdO&#10;4kB6jg6N7AEAALwDAAAOAAAAAAAAAAEAIAAAACUBAABkcnMvZTJvRG9jLnhtbFBLBQYAAAAABgAG&#10;AFkBAACDBQAAAAA=&#10;">
                <v:fill on="f" focussize="0,0"/>
                <v:stroke weight="0.25pt" color="#000000" joinstyle="round"/>
                <v:imagedata o:title=""/>
                <o:lock v:ext="edit" aspectratio="f"/>
              </v:line>
            </w:pict>
          </mc:Fallback>
        </mc:AlternateContent>
      </w:r>
    </w:p>
    <w:p w14:paraId="270E59F8">
      <w:pPr>
        <w:spacing w:line="360" w:lineRule="auto"/>
        <w:ind w:firstLine="420" w:firstLineChars="200"/>
        <w:rPr>
          <w:rFonts w:ascii="宋体" w:hAnsi="宋体"/>
          <w:szCs w:val="21"/>
        </w:rPr>
      </w:pPr>
      <w:r>
        <w:rPr>
          <w:rFonts w:ascii="宋体" w:hAnsi="宋体"/>
          <w:szCs w:val="21"/>
        </w:rPr>
        <w:t>注：</w:t>
      </w:r>
      <w:r>
        <w:rPr>
          <w:rFonts w:hint="eastAsia" w:ascii="宋体" w:hAnsi="宋体"/>
          <w:szCs w:val="21"/>
        </w:rPr>
        <w:t>1.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p w14:paraId="5A8BE8BD">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本协议书由委托代理人签名或盖章的，应附法定代表人签名或盖章的授权委托书。</w:t>
      </w:r>
    </w:p>
    <w:p w14:paraId="52E0F616">
      <w:pPr>
        <w:keepNext w:val="0"/>
        <w:keepLines w:val="0"/>
        <w:spacing w:after="0" w:line="240" w:lineRule="auto"/>
        <w:jc w:val="left"/>
        <w:outlineLvl w:val="9"/>
        <w:rPr>
          <w:rFonts w:hint="eastAsia" w:ascii="宋体" w:hAnsi="宋体"/>
          <w:b/>
          <w:bCs/>
          <w:sz w:val="32"/>
          <w:szCs w:val="32"/>
          <w:highlight w:val="none"/>
        </w:rPr>
      </w:pPr>
    </w:p>
    <w:p w14:paraId="79E3FA58">
      <w:pPr>
        <w:keepNext w:val="0"/>
        <w:keepLines w:val="0"/>
        <w:spacing w:after="0" w:line="240" w:lineRule="auto"/>
        <w:jc w:val="left"/>
        <w:outlineLvl w:val="0"/>
        <w:rPr>
          <w:rFonts w:hint="eastAsia" w:ascii="宋体" w:hAnsi="宋体"/>
          <w:b/>
          <w:bCs/>
          <w:sz w:val="32"/>
          <w:szCs w:val="32"/>
          <w:highlight w:val="none"/>
        </w:rPr>
      </w:pPr>
      <w:r>
        <w:rPr>
          <w:rFonts w:hint="eastAsia" w:ascii="宋体" w:hAnsi="宋体"/>
          <w:b/>
          <w:bCs/>
          <w:sz w:val="32"/>
          <w:szCs w:val="32"/>
          <w:highlight w:val="none"/>
        </w:rPr>
        <w:br w:type="page"/>
      </w:r>
    </w:p>
    <w:p w14:paraId="434AC4C8">
      <w:pPr>
        <w:keepNext/>
        <w:keepLines/>
        <w:spacing w:after="260" w:line="360" w:lineRule="auto"/>
        <w:jc w:val="center"/>
        <w:outlineLvl w:val="0"/>
        <w:rPr>
          <w:rFonts w:ascii="宋体" w:hAnsi="宋体"/>
          <w:b/>
          <w:bCs/>
          <w:sz w:val="32"/>
          <w:szCs w:val="32"/>
          <w:highlight w:val="none"/>
        </w:rPr>
      </w:pPr>
      <w:r>
        <w:rPr>
          <w:rFonts w:hint="eastAsia" w:ascii="宋体" w:hAnsi="宋体"/>
          <w:b/>
          <w:bCs/>
          <w:sz w:val="32"/>
          <w:szCs w:val="32"/>
          <w:highlight w:val="none"/>
        </w:rPr>
        <w:t>（</w:t>
      </w:r>
      <w:r>
        <w:rPr>
          <w:rFonts w:hint="eastAsia" w:ascii="宋体" w:hAnsi="宋体"/>
          <w:b/>
          <w:bCs/>
          <w:sz w:val="32"/>
          <w:szCs w:val="32"/>
          <w:highlight w:val="none"/>
          <w:lang w:val="en-US" w:eastAsia="zh-CN"/>
        </w:rPr>
        <w:t>五</w:t>
      </w:r>
      <w:r>
        <w:rPr>
          <w:rFonts w:hint="eastAsia" w:ascii="宋体" w:hAnsi="宋体"/>
          <w:b/>
          <w:bCs/>
          <w:sz w:val="32"/>
          <w:szCs w:val="32"/>
          <w:highlight w:val="none"/>
        </w:rPr>
        <w:t>）其他资料</w:t>
      </w:r>
    </w:p>
    <w:p w14:paraId="052FCD45">
      <w:pPr>
        <w:spacing w:line="360" w:lineRule="auto"/>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业绩证明材料</w:t>
      </w:r>
    </w:p>
    <w:p w14:paraId="5D69A045">
      <w:pPr>
        <w:pStyle w:val="12"/>
        <w:ind w:firstLine="420" w:firstLineChars="200"/>
        <w:rPr>
          <w:rFonts w:ascii="宋体" w:hAnsi="宋体" w:cs="Times New Roman"/>
          <w:b w:val="0"/>
          <w:bCs w:val="0"/>
          <w:sz w:val="21"/>
          <w:szCs w:val="21"/>
          <w:highlight w:val="none"/>
        </w:rPr>
      </w:pPr>
      <w:r>
        <w:rPr>
          <w:rFonts w:hint="eastAsia" w:ascii="宋体" w:hAnsi="宋体" w:cs="Times New Roman"/>
          <w:b w:val="0"/>
          <w:bCs w:val="0"/>
          <w:sz w:val="21"/>
          <w:szCs w:val="21"/>
          <w:highlight w:val="none"/>
        </w:rPr>
        <w:t>需提供业绩证明所须的合同复印件、项目已实质性启动或落地的证明文件资料，合同复印件和证明文件资料均须加盖公章，证明文件资料须反映对应合同项目名称，合同原件备查。</w:t>
      </w:r>
    </w:p>
    <w:p w14:paraId="57FC3975">
      <w:pPr>
        <w:rPr>
          <w:rFonts w:ascii="宋体" w:hAnsi="宋体"/>
          <w:szCs w:val="21"/>
          <w:highlight w:val="none"/>
        </w:rPr>
      </w:pPr>
    </w:p>
    <w:p w14:paraId="544C95B3">
      <w:pPr>
        <w:tabs>
          <w:tab w:val="left" w:pos="2580"/>
          <w:tab w:val="left" w:pos="5940"/>
        </w:tabs>
        <w:jc w:val="left"/>
        <w:rPr>
          <w:rFonts w:ascii="宋体" w:hAnsi="宋体" w:cs="宋体"/>
          <w:kern w:val="0"/>
          <w:sz w:val="28"/>
          <w:szCs w:val="28"/>
          <w:highlight w:val="none"/>
        </w:rPr>
      </w:pPr>
    </w:p>
    <w:p w14:paraId="233C10CC">
      <w:pPr>
        <w:rPr>
          <w:highlight w:val="none"/>
        </w:rPr>
      </w:pPr>
    </w:p>
    <w:p w14:paraId="030EB182">
      <w:pPr>
        <w:rPr>
          <w:highlight w:val="none"/>
        </w:rPr>
      </w:pPr>
    </w:p>
    <w:p w14:paraId="3E98756B">
      <w:pPr>
        <w:pStyle w:val="12"/>
        <w:rPr>
          <w:highlight w:val="none"/>
        </w:rPr>
      </w:pPr>
    </w:p>
    <w:p w14:paraId="1C9FE3DB">
      <w:pPr>
        <w:rPr>
          <w:highlight w:val="none"/>
        </w:rPr>
      </w:pPr>
    </w:p>
    <w:p w14:paraId="1B878769">
      <w:pPr>
        <w:pStyle w:val="12"/>
        <w:rPr>
          <w:highlight w:val="none"/>
        </w:rPr>
      </w:pPr>
    </w:p>
    <w:p w14:paraId="713D2987">
      <w:pPr>
        <w:pStyle w:val="12"/>
        <w:rPr>
          <w:highlight w:val="none"/>
        </w:rPr>
      </w:pPr>
    </w:p>
    <w:p w14:paraId="6F0E0AA3">
      <w:pPr>
        <w:rPr>
          <w:highlight w:val="none"/>
        </w:rPr>
      </w:pPr>
    </w:p>
    <w:p w14:paraId="4D6CD60B">
      <w:pPr>
        <w:pStyle w:val="12"/>
        <w:rPr>
          <w:highlight w:val="none"/>
        </w:rPr>
      </w:pPr>
    </w:p>
    <w:p w14:paraId="7290BC21">
      <w:pPr>
        <w:rPr>
          <w:highlight w:val="none"/>
        </w:rPr>
      </w:pPr>
    </w:p>
    <w:p w14:paraId="3E15543B">
      <w:pPr>
        <w:pStyle w:val="12"/>
        <w:rPr>
          <w:highlight w:val="none"/>
        </w:rPr>
      </w:pPr>
    </w:p>
    <w:p w14:paraId="3D8B2C3E">
      <w:pPr>
        <w:rPr>
          <w:highlight w:val="none"/>
        </w:rPr>
      </w:pPr>
    </w:p>
    <w:p w14:paraId="3F7D050A">
      <w:pPr>
        <w:pStyle w:val="12"/>
        <w:rPr>
          <w:highlight w:val="none"/>
        </w:rPr>
      </w:pPr>
    </w:p>
    <w:p w14:paraId="21D28C06">
      <w:pPr>
        <w:spacing w:line="360" w:lineRule="auto"/>
        <w:ind w:firstLine="420" w:firstLineChars="200"/>
        <w:rPr>
          <w:rFonts w:ascii="宋体" w:hAnsi="宋体"/>
          <w:szCs w:val="21"/>
          <w:highlight w:val="none"/>
        </w:rPr>
      </w:pPr>
    </w:p>
    <w:p w14:paraId="6D0E7B3A">
      <w:pPr>
        <w:pStyle w:val="12"/>
        <w:rPr>
          <w:rFonts w:ascii="宋体" w:hAnsi="宋体"/>
          <w:szCs w:val="21"/>
          <w:highlight w:val="none"/>
        </w:rPr>
      </w:pPr>
    </w:p>
    <w:p w14:paraId="6518092C">
      <w:pPr>
        <w:rPr>
          <w:rFonts w:ascii="宋体" w:hAnsi="宋体"/>
          <w:szCs w:val="21"/>
          <w:highlight w:val="none"/>
        </w:rPr>
      </w:pPr>
    </w:p>
    <w:p w14:paraId="12AC5F33">
      <w:pPr>
        <w:pStyle w:val="12"/>
        <w:rPr>
          <w:rFonts w:ascii="宋体" w:hAnsi="宋体"/>
          <w:szCs w:val="21"/>
          <w:highlight w:val="none"/>
        </w:rPr>
      </w:pPr>
    </w:p>
    <w:p w14:paraId="00AC992D">
      <w:pPr>
        <w:rPr>
          <w:rFonts w:ascii="宋体" w:hAnsi="宋体"/>
          <w:szCs w:val="21"/>
          <w:highlight w:val="none"/>
        </w:rPr>
      </w:pPr>
    </w:p>
    <w:p w14:paraId="0E620B89">
      <w:pPr>
        <w:rPr>
          <w:highlight w:val="none"/>
        </w:rPr>
      </w:pPr>
    </w:p>
    <w:p w14:paraId="0B78EED6">
      <w:pPr>
        <w:pStyle w:val="12"/>
        <w:rPr>
          <w:highlight w:val="none"/>
        </w:rPr>
      </w:pPr>
    </w:p>
    <w:p w14:paraId="6B9FB7A2">
      <w:pPr>
        <w:tabs>
          <w:tab w:val="left" w:pos="2580"/>
          <w:tab w:val="left" w:pos="5940"/>
        </w:tabs>
        <w:jc w:val="left"/>
        <w:rPr>
          <w:rFonts w:ascii="宋体" w:hAnsi="宋体" w:cs="宋体"/>
          <w:kern w:val="0"/>
          <w:sz w:val="28"/>
          <w:szCs w:val="28"/>
          <w:highlight w:val="none"/>
        </w:rPr>
      </w:pPr>
      <w:r>
        <w:rPr>
          <w:highlight w:val="none"/>
        </w:rPr>
        <mc:AlternateContent>
          <mc:Choice Requires="wps">
            <w:drawing>
              <wp:anchor distT="0" distB="0" distL="114300" distR="114300" simplePos="0" relativeHeight="251665408" behindDoc="0" locked="0" layoutInCell="1" allowOverlap="1">
                <wp:simplePos x="0" y="0"/>
                <wp:positionH relativeFrom="character">
                  <wp:posOffset>1805940</wp:posOffset>
                </wp:positionH>
                <wp:positionV relativeFrom="line">
                  <wp:posOffset>1351280</wp:posOffset>
                </wp:positionV>
                <wp:extent cx="2134235" cy="792480"/>
                <wp:effectExtent l="0" t="0" r="0" b="0"/>
                <wp:wrapNone/>
                <wp:docPr id="14" name="矩形 14"/>
                <wp:cNvGraphicFramePr/>
                <a:graphic xmlns:a="http://schemas.openxmlformats.org/drawingml/2006/main">
                  <a:graphicData uri="http://schemas.microsoft.com/office/word/2010/wordprocessingShape">
                    <wps:wsp>
                      <wps:cNvSpPr/>
                      <wps:spPr>
                        <a:xfrm>
                          <a:off x="3558540" y="2671445"/>
                          <a:ext cx="2134235" cy="792480"/>
                        </a:xfrm>
                        <a:prstGeom prst="rect">
                          <a:avLst/>
                        </a:prstGeom>
                        <a:noFill/>
                        <a:ln w="9525">
                          <a:noFill/>
                        </a:ln>
                        <a:effectLst/>
                      </wps:spPr>
                      <wps:txbx>
                        <w:txbxContent>
                          <w:p w14:paraId="4D1F186E">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142.2pt;margin-top:106.4pt;height:62.4pt;width:168.05pt;mso-position-horizontal-relative:char;mso-position-vertical-relative:line;mso-wrap-style:none;z-index:251665408;mso-width-relative:page;mso-height-relative:page;" filled="f" stroked="f" coordsize="21600,21600" o:gfxdata="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5fHVy2AAAAAsBAAAPAAAAAAAAAAEAIAAAACIAAABkcnMvZG93bnJldi54bWxQ&#10;SwECFAAUAAAACACHTuJAX0RqufcBAADVAwAADgAAAAAAAAABACAAAAAnAQAAZHJzL2Uyb0RvYy54&#10;bWxQSwUGAAAAAAYABgBZAQAAkAUAAAAA&#10;">
                <v:fill on="f" focussize="0,0"/>
                <v:stroke on="f"/>
                <v:imagedata o:title=""/>
                <o:lock v:ext="edit" aspectratio="f"/>
                <v:textbox inset="0mm,0mm,0mm,0mm" style="mso-fit-shape-to-text:t;">
                  <w:txbxContent>
                    <w:p w14:paraId="4D1F186E">
                      <w:pPr>
                        <w:jc w:val="center"/>
                        <w:rPr>
                          <w:rFonts w:ascii="仿宋" w:hAnsi="仿宋" w:eastAsia="仿宋" w:cs="仿宋"/>
                          <w:sz w:val="84"/>
                          <w:szCs w:val="84"/>
                        </w:rPr>
                      </w:pPr>
                      <w:r>
                        <w:rPr>
                          <w:rFonts w:hint="eastAsia" w:ascii="仿宋" w:hAnsi="仿宋" w:eastAsia="仿宋" w:cs="仿宋"/>
                          <w:color w:val="000000"/>
                          <w:sz w:val="84"/>
                          <w:szCs w:val="84"/>
                        </w:rPr>
                        <w:t>技术方案</w:t>
                      </w:r>
                    </w:p>
                  </w:txbxContent>
                </v:textbox>
              </v:rect>
            </w:pict>
          </mc:Fallback>
        </mc:AlternateContent>
      </w:r>
      <w:r>
        <w:rPr>
          <w:highlight w:val="none"/>
        </w:rPr>
        <mc:AlternateContent>
          <mc:Choice Requires="wps">
            <w:drawing>
              <wp:anchor distT="0" distB="0" distL="114300" distR="114300" simplePos="0" relativeHeight="251669504"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5" name="矩形 15"/>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47E48128">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05.85pt;margin-top:736.45pt;height:15.6pt;width:33.05pt;mso-position-horizontal-relative:char;mso-position-vertical-relative:line;mso-wrap-style:none;rotation:-2883584f;z-index:251669504;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GBhk2QAAAA0BAAAPAAAAAAAAAAEAIAAAACIAAABkcnMvZG93&#10;bnJldi54bWxQSwECFAAUAAAACACHTuJABcLn2P8BAADjAwAADgAAAAAAAAABACAAAAAoAQAAZHJz&#10;L2Uyb0RvYy54bWxQSwUGAAAAAAYABgBZAQAAmQUAAAAA&#10;">
                <v:fill on="f" focussize="0,0"/>
                <v:stroke on="f"/>
                <v:imagedata o:title=""/>
                <o:lock v:ext="edit" aspectratio="f"/>
                <v:textbox inset="0mm,0mm,0mm,0mm" style="mso-fit-shape-to-text:t;">
                  <w:txbxContent>
                    <w:p w14:paraId="47E48128">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haracter">
                  <wp:posOffset>3669030</wp:posOffset>
                </wp:positionH>
                <wp:positionV relativeFrom="line">
                  <wp:posOffset>6773545</wp:posOffset>
                </wp:positionV>
                <wp:extent cx="3175" cy="3128010"/>
                <wp:effectExtent l="4445" t="0" r="11430" b="15240"/>
                <wp:wrapNone/>
                <wp:docPr id="16" name="直接连接符 16"/>
                <wp:cNvGraphicFramePr/>
                <a:graphic xmlns:a="http://schemas.openxmlformats.org/drawingml/2006/main">
                  <a:graphicData uri="http://schemas.microsoft.com/office/word/2010/wordprocessingShape">
                    <wps:wsp>
                      <wps:cNvCnPr/>
                      <wps:spPr>
                        <a:xfrm flipH="1" flipV="1">
                          <a:off x="0" y="0"/>
                          <a:ext cx="3175" cy="3128010"/>
                        </a:xfrm>
                        <a:prstGeom prst="line">
                          <a:avLst/>
                        </a:prstGeom>
                        <a:ln w="9525" cap="flat" cmpd="sng">
                          <a:solidFill>
                            <a:srgbClr val="000000"/>
                          </a:solidFill>
                          <a:prstDash val="dash"/>
                          <a:miter/>
                          <a:headEnd type="none" w="med" len="med"/>
                          <a:tailEnd type="none" w="med" len="med"/>
                        </a:ln>
                        <a:effectLst/>
                      </wps:spPr>
                      <wps:bodyPr/>
                    </wps:wsp>
                  </a:graphicData>
                </a:graphic>
              </wp:anchor>
            </w:drawing>
          </mc:Choice>
          <mc:Fallback>
            <w:pict>
              <v:line id="_x0000_s1026" o:spid="_x0000_s1026" o:spt="20" style="position:absolute;left:0pt;flip:x y;margin-left:288.9pt;margin-top:533.35pt;height:246.3pt;width:0.25pt;mso-position-horizontal-relative:char;mso-position-vertical-relative:line;z-index:251667456;mso-width-relative:page;mso-height-relative:page;" filled="f" stroked="t" coordsize="21600,21600" o:gfxdata="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8v7F3AAAAA0BAAAPAAAAAAAAAAEAIAAAACIA&#10;AABkcnMvZG93bnJldi54bWxQSwECFAAUAAAACACHTuJA2QPuYwUCAAAIBAAADgAAAAAAAAABACAA&#10;AAArAQAAZHJzL2Uyb0RvYy54bWxQSwUGAAAAAAYABgBZAQAAogUAAAAA&#10;">
                <v:fill on="f" focussize="0,0"/>
                <v:stroke color="#000000" joinstyle="miter" dashstyle="dash"/>
                <v:imagedata o:title=""/>
                <o:lock v:ext="edit" aspectratio="f"/>
              </v:line>
            </w:pict>
          </mc:Fallback>
        </mc:AlternateContent>
      </w:r>
      <w:r>
        <w:rPr>
          <w:highlight w:val="none"/>
        </w:rPr>
        <mc:AlternateContent>
          <mc:Choice Requires="wps">
            <w:drawing>
              <wp:anchor distT="0" distB="0" distL="114300" distR="114300" simplePos="0" relativeHeight="251662336" behindDoc="0" locked="0" layoutInCell="1" allowOverlap="1">
                <wp:simplePos x="0" y="0"/>
                <wp:positionH relativeFrom="character">
                  <wp:posOffset>3685540</wp:posOffset>
                </wp:positionH>
                <wp:positionV relativeFrom="line">
                  <wp:posOffset>6776720</wp:posOffset>
                </wp:positionV>
                <wp:extent cx="3077210" cy="4445"/>
                <wp:effectExtent l="0" t="0" r="0" b="0"/>
                <wp:wrapNone/>
                <wp:docPr id="17" name="直接箭头连接符 17"/>
                <wp:cNvGraphicFramePr/>
                <a:graphic xmlns:a="http://schemas.openxmlformats.org/drawingml/2006/main">
                  <a:graphicData uri="http://schemas.microsoft.com/office/word/2010/wordprocessingShape">
                    <wps:wsp>
                      <wps:cNvCnPr/>
                      <wps:spPr>
                        <a:xfrm flipV="1">
                          <a:off x="0" y="0"/>
                          <a:ext cx="3077210" cy="4445"/>
                        </a:xfrm>
                        <a:prstGeom prst="straightConnector1">
                          <a:avLst/>
                        </a:prstGeom>
                        <a:ln w="9525" cap="flat" cmpd="sng">
                          <a:solidFill>
                            <a:srgbClr val="000000"/>
                          </a:solidFill>
                          <a:prstDash val="dash"/>
                          <a:miter/>
                          <a:headEnd type="none" w="med" len="med"/>
                          <a:tailEnd type="none" w="med" len="med"/>
                        </a:ln>
                        <a:effectLst/>
                      </wps:spPr>
                      <wps:bodyPr/>
                    </wps:wsp>
                  </a:graphicData>
                </a:graphic>
              </wp:anchor>
            </w:drawing>
          </mc:Choice>
          <mc:Fallback>
            <w:pict>
              <v:shape id="_x0000_s1026" o:spid="_x0000_s1026" o:spt="32" type="#_x0000_t32" style="position:absolute;left:0pt;flip:y;margin-left:290.2pt;margin-top:533.6pt;height:0.35pt;width:242.3pt;mso-position-horizontal-relative:char;mso-position-vertical-relative:line;z-index:251662336;mso-width-relative:page;mso-height-relative:page;" filled="f" stroked="t" coordsize="21600,21600" o:gfxdata="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vfTrXaAAAADgEAAA8AAAAA&#10;AAAAAQAgAAAAIgAAAGRycy9kb3ducmV2LnhtbFBLAQIUABQAAAAIAIdO4kCcmXvLEgIAABIEAAAO&#10;AAAAAAAAAAEAIAAAACkBAABkcnMvZTJvRG9jLnhtbFBLBQYAAAAABgAGAFkBAACtBQAAAAA=&#10;">
                <v:fill on="f" focussize="0,0"/>
                <v:stroke color="#000000" joinstyle="miter" dashstyle="dash"/>
                <v:imagedata o:title=""/>
                <o:lock v:ext="edit" aspectratio="f"/>
              </v:shape>
            </w:pict>
          </mc:Fallback>
        </mc:AlternateContent>
      </w:r>
      <w:r>
        <w:rPr>
          <w:highlight w:val="none"/>
        </w:rPr>
        <mc:AlternateContent>
          <mc:Choice Requires="wps">
            <w:drawing>
              <wp:anchor distT="0" distB="0" distL="114300" distR="114300" simplePos="0" relativeHeight="251666432" behindDoc="0" locked="0" layoutInCell="1" allowOverlap="1">
                <wp:simplePos x="0" y="0"/>
                <wp:positionH relativeFrom="character">
                  <wp:posOffset>3690620</wp:posOffset>
                </wp:positionH>
                <wp:positionV relativeFrom="line">
                  <wp:posOffset>6783070</wp:posOffset>
                </wp:positionV>
                <wp:extent cx="3057525" cy="3085465"/>
                <wp:effectExtent l="3175" t="3175" r="6350" b="16510"/>
                <wp:wrapNone/>
                <wp:docPr id="18" name="直接连接符 18"/>
                <wp:cNvGraphicFramePr/>
                <a:graphic xmlns:a="http://schemas.openxmlformats.org/drawingml/2006/main">
                  <a:graphicData uri="http://schemas.microsoft.com/office/word/2010/wordprocessingShape">
                    <wps:wsp>
                      <wps:cNvCnPr/>
                      <wps:spPr>
                        <a:xfrm flipV="1">
                          <a:off x="0" y="0"/>
                          <a:ext cx="3057525" cy="3085465"/>
                        </a:xfrm>
                        <a:prstGeom prst="line">
                          <a:avLst/>
                        </a:prstGeom>
                        <a:ln w="9525" cap="flat" cmpd="sng">
                          <a:solidFill>
                            <a:srgbClr val="000000"/>
                          </a:solidFill>
                          <a:prstDash val="dashDot"/>
                          <a:miter/>
                          <a:headEnd type="none" w="med" len="med"/>
                          <a:tailEnd type="none" w="med" len="med"/>
                        </a:ln>
                        <a:effectLst/>
                      </wps:spPr>
                      <wps:bodyPr/>
                    </wps:wsp>
                  </a:graphicData>
                </a:graphic>
              </wp:anchor>
            </w:drawing>
          </mc:Choice>
          <mc:Fallback>
            <w:pict>
              <v:line id="_x0000_s1026" o:spid="_x0000_s1026" o:spt="20" style="position:absolute;left:0pt;flip:y;margin-left:290.6pt;margin-top:534.1pt;height:242.95pt;width:240.75pt;mso-position-horizontal-relative:char;mso-position-vertical-relative:line;z-index:251666432;mso-width-relative:page;mso-height-relative:page;" filled="f" stroked="t" coordsize="21600,21600" o:gfxdata="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&#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CRR7J2gAAAA4BAAAPAAAAAAAAAAEAIAAAACIAAABk&#10;cnMvZG93bnJldi54bWxQSwECFAAUAAAACACHTuJAQ5RYAwQCAAAEBAAADgAAAAAAAAABACAAAAAp&#10;AQAAZHJzL2Uyb0RvYy54bWxQSwUGAAAAAAYABgBZAQAAnwUAAAAA&#10;">
                <v:fill on="f" focussize="0,0"/>
                <v:stroke color="#000000" joinstyle="miter" dashstyle="dashDot"/>
                <v:imagedata o:title=""/>
                <o:lock v:ext="edit" aspectratio="f"/>
              </v:lin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haracter">
                  <wp:posOffset>4256405</wp:posOffset>
                </wp:positionH>
                <wp:positionV relativeFrom="line">
                  <wp:posOffset>7359650</wp:posOffset>
                </wp:positionV>
                <wp:extent cx="1857375" cy="1856740"/>
                <wp:effectExtent l="5080" t="5080" r="4445" b="5080"/>
                <wp:wrapNone/>
                <wp:docPr id="19" name="椭圆 19"/>
                <wp:cNvGraphicFramePr/>
                <a:graphic xmlns:a="http://schemas.openxmlformats.org/drawingml/2006/main">
                  <a:graphicData uri="http://schemas.microsoft.com/office/word/2010/wordprocessingShape">
                    <wps:wsp>
                      <wps:cNvSpPr/>
                      <wps:spPr>
                        <a:xfrm>
                          <a:off x="0" y="0"/>
                          <a:ext cx="1857375" cy="1856740"/>
                        </a:xfrm>
                        <a:prstGeom prst="ellipse">
                          <a:avLst/>
                        </a:prstGeom>
                        <a:noFill/>
                        <a:ln w="9525" cap="flat" cmpd="sng">
                          <a:solidFill>
                            <a:srgbClr val="000000"/>
                          </a:solidFill>
                          <a:prstDash val="dashDot"/>
                          <a:miter/>
                          <a:headEnd type="none" w="med" len="med"/>
                          <a:tailEnd type="none" w="med" len="med"/>
                        </a:ln>
                        <a:effectLst/>
                      </wps:spPr>
                      <wps:txbx>
                        <w:txbxContent>
                          <w:p w14:paraId="53A818ED"/>
                        </w:txbxContent>
                      </wps:txbx>
                      <wps:bodyPr vert="horz" wrap="square" anchor="t" anchorCtr="0" upright="1"/>
                    </wps:wsp>
                  </a:graphicData>
                </a:graphic>
              </wp:anchor>
            </w:drawing>
          </mc:Choice>
          <mc:Fallback>
            <w:pict>
              <v:shape id="_x0000_s1026" o:spid="_x0000_s1026" o:spt="3" type="#_x0000_t3" style="position:absolute;left:0pt;margin-left:335.15pt;margin-top:579.5pt;height:146.2pt;width:146.25pt;mso-position-horizontal-relative:char;mso-position-vertical-relative:line;z-index:251663360;mso-width-relative:page;mso-height-relative:page;" filled="f" stroked="t" coordsize="21600,21600" o:gfxdata="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7hNOB2gAAAA0BAAAPAAAAAAAAAAEAIAAAACIAAABkcnMvZG93bnJldi54bWxQSwECFAAUAAAA&#10;CACHTuJA2ghMkiUCAABJBAAADgAAAAAAAAABACAAAAApAQAAZHJzL2Uyb0RvYy54bWxQSwUGAAAA&#10;AAYABgBZAQAAwAUAAAAA&#10;">
                <v:fill on="f" focussize="0,0"/>
                <v:stroke color="#000000" joinstyle="miter" dashstyle="dashDot"/>
                <v:imagedata o:title=""/>
                <o:lock v:ext="edit" aspectratio="f"/>
                <v:textbox>
                  <w:txbxContent>
                    <w:p w14:paraId="53A818ED"/>
                  </w:txbxContent>
                </v:textbox>
              </v:shape>
            </w:pict>
          </mc:Fallback>
        </mc:AlternateContent>
      </w:r>
      <w:r>
        <w:rPr>
          <w:highlight w:val="none"/>
        </w:rPr>
        <mc:AlternateContent>
          <mc:Choice Requires="wps">
            <w:drawing>
              <wp:anchor distT="0" distB="0" distL="114300" distR="114300" simplePos="0" relativeHeight="251668480" behindDoc="0" locked="0" layoutInCell="1" allowOverlap="1">
                <wp:simplePos x="0" y="0"/>
                <wp:positionH relativeFrom="character">
                  <wp:posOffset>6140450</wp:posOffset>
                </wp:positionH>
                <wp:positionV relativeFrom="line">
                  <wp:posOffset>7091045</wp:posOffset>
                </wp:positionV>
                <wp:extent cx="419735" cy="198120"/>
                <wp:effectExtent l="0" t="0" r="0" b="0"/>
                <wp:wrapNone/>
                <wp:docPr id="20" name="矩形 20"/>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503B9EFB">
                            <w:pPr>
                              <w:rPr>
                                <w:sz w:val="20"/>
                              </w:rPr>
                            </w:pPr>
                            <w:r>
                              <w:rPr>
                                <w:rFonts w:hint="eastAsia" w:ascii="宋体" w:cs="宋体"/>
                                <w:bCs/>
                                <w:color w:val="000000"/>
                                <w:sz w:val="22"/>
                              </w:rPr>
                              <w:t>密封线</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483.5pt;margin-top:558.35pt;height:15.6pt;width:33.05pt;mso-position-horizontal-relative:char;mso-position-vertical-relative:line;mso-wrap-style:none;rotation:-2883584f;z-index:251668480;mso-width-relative:page;mso-height-relative:page;" filled="f" stroked="f" coordsize="21600,21600" o:gfxdata="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3fAV2gAAAA4BAAAPAAAAAAAAAAEAIAAAACIAAABkcnMvZG93&#10;bnJldi54bWxQSwECFAAUAAAACACHTuJAkVYdSf4BAADjAwAADgAAAAAAAAABACAAAAApAQAAZHJz&#10;L2Uyb0RvYy54bWxQSwUGAAAAAAYABgBZAQAAmQUAAAAA&#10;">
                <v:fill on="f" focussize="0,0"/>
                <v:stroke on="f"/>
                <v:imagedata o:title=""/>
                <o:lock v:ext="edit" aspectratio="f"/>
                <v:textbox inset="0mm,0mm,0mm,0mm" style="mso-fit-shape-to-text:t;">
                  <w:txbxContent>
                    <w:p w14:paraId="503B9EFB">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4384"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21" name="矩形 21"/>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756B7D8D">
                            <w:pPr>
                              <w:rPr>
                                <w:sz w:val="20"/>
                              </w:rPr>
                            </w:pPr>
                            <w:r>
                              <w:rPr>
                                <w:rFonts w:hint="eastAsia" w:ascii="宋体" w:cs="宋体"/>
                                <w:bCs/>
                                <w:color w:val="000000"/>
                                <w:sz w:val="28"/>
                                <w:szCs w:val="30"/>
                              </w:rPr>
                              <w:t>(盖单位章处）</w:t>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left:363.4pt;margin-top:638.7pt;height:31.2pt;width:91.05pt;mso-position-horizontal-relative:char;mso-position-vertical-relative:line;mso-wrap-style:none;z-index:251664384;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2TtLZAAAADQEAAA8AAAAAAAAAAQAgAAAAIgAAAGRycy9kb3ducmV2LnhtbFBL&#10;AQIUABQAAAAIAIdO4kAXpgP/9QEAANUDAAAOAAAAAAAAAAEAIAAAACgBAABkcnMvZTJvRG9jLnht&#10;bFBLBQYAAAAABgAGAFkBAACPBQAAAAA=&#10;">
                <v:fill on="f" focussize="0,0"/>
                <v:stroke on="f"/>
                <v:imagedata o:title=""/>
                <o:lock v:ext="edit" aspectratio="f"/>
                <v:textbox inset="0mm,0mm,0mm,0mm" style="mso-fit-shape-to-text:t;">
                  <w:txbxContent>
                    <w:p w14:paraId="756B7D8D">
                      <w:pPr>
                        <w:rPr>
                          <w:sz w:val="20"/>
                        </w:rPr>
                      </w:pPr>
                      <w:r>
                        <w:rPr>
                          <w:rFonts w:hint="eastAsia" w:ascii="宋体" w:cs="宋体"/>
                          <w:bCs/>
                          <w:color w:val="000000"/>
                          <w:sz w:val="28"/>
                          <w:szCs w:val="30"/>
                        </w:rPr>
                        <w:t>(盖单位章处）</w:t>
                      </w:r>
                    </w:p>
                  </w:txbxContent>
                </v:textbox>
              </v:rect>
            </w:pict>
          </mc:Fallback>
        </mc:AlternateContent>
      </w:r>
    </w:p>
    <w:p w14:paraId="553C2F5B">
      <w:pPr>
        <w:rPr>
          <w:highlight w:val="none"/>
        </w:rPr>
      </w:pPr>
    </w:p>
    <w:p w14:paraId="0BB2D66E">
      <w:pPr>
        <w:rPr>
          <w:highlight w:val="none"/>
        </w:rPr>
      </w:pPr>
    </w:p>
    <w:p w14:paraId="77D65619">
      <w:pPr>
        <w:pStyle w:val="12"/>
        <w:rPr>
          <w:highlight w:val="none"/>
        </w:rPr>
      </w:pPr>
    </w:p>
    <w:p w14:paraId="79AE9F87">
      <w:pPr>
        <w:rPr>
          <w:highlight w:val="none"/>
        </w:rPr>
      </w:pPr>
    </w:p>
    <w:p w14:paraId="687A3EC6">
      <w:pPr>
        <w:pStyle w:val="12"/>
        <w:rPr>
          <w:highlight w:val="none"/>
        </w:rPr>
      </w:pPr>
    </w:p>
    <w:p w14:paraId="3D3F7FB4">
      <w:pPr>
        <w:rPr>
          <w:highlight w:val="none"/>
        </w:rPr>
      </w:pPr>
    </w:p>
    <w:p w14:paraId="3AFB5EDF">
      <w:pPr>
        <w:pStyle w:val="12"/>
        <w:rPr>
          <w:highlight w:val="none"/>
        </w:rPr>
      </w:pPr>
    </w:p>
    <w:p w14:paraId="4BE2AB95">
      <w:pPr>
        <w:pStyle w:val="12"/>
        <w:spacing w:before="0" w:after="0"/>
        <w:rPr>
          <w:highlight w:val="none"/>
        </w:rPr>
      </w:pPr>
    </w:p>
    <w:p w14:paraId="4730A9CD">
      <w:pPr>
        <w:rPr>
          <w:highlight w:val="none"/>
        </w:rPr>
      </w:pPr>
    </w:p>
    <w:p w14:paraId="6A423D60">
      <w:pPr>
        <w:pStyle w:val="12"/>
        <w:spacing w:before="0" w:after="0"/>
        <w:rPr>
          <w:highlight w:val="none"/>
        </w:rPr>
      </w:pPr>
    </w:p>
    <w:p w14:paraId="67B2621A">
      <w:pPr>
        <w:rPr>
          <w:highlight w:val="none"/>
        </w:rPr>
      </w:pPr>
    </w:p>
    <w:p w14:paraId="1616B6CC">
      <w:pPr>
        <w:pStyle w:val="12"/>
        <w:rPr>
          <w:highlight w:val="none"/>
        </w:rPr>
      </w:pPr>
    </w:p>
    <w:p w14:paraId="3D297C39">
      <w:pPr>
        <w:pStyle w:val="12"/>
        <w:rPr>
          <w:highlight w:val="none"/>
        </w:rPr>
      </w:pPr>
    </w:p>
    <w:p w14:paraId="60F07EF2">
      <w:pPr>
        <w:rPr>
          <w:highlight w:val="none"/>
        </w:rPr>
      </w:pPr>
    </w:p>
    <w:p w14:paraId="347E86A3">
      <w:pPr>
        <w:pStyle w:val="12"/>
        <w:rPr>
          <w:highlight w:val="none"/>
        </w:rPr>
      </w:pPr>
    </w:p>
    <w:p w14:paraId="79F771EC">
      <w:pPr>
        <w:rPr>
          <w:highlight w:val="none"/>
        </w:rPr>
      </w:pPr>
    </w:p>
    <w:p w14:paraId="2FECFEF9">
      <w:pPr>
        <w:pStyle w:val="12"/>
        <w:rPr>
          <w:highlight w:val="none"/>
        </w:rPr>
      </w:pPr>
    </w:p>
    <w:p w14:paraId="797F217D">
      <w:pPr>
        <w:rPr>
          <w:highlight w:val="none"/>
        </w:rPr>
      </w:pPr>
    </w:p>
    <w:p w14:paraId="01353A84">
      <w:pPr>
        <w:rPr>
          <w:rFonts w:eastAsia="方正小标宋_GBK"/>
          <w:b/>
          <w:highlight w:val="none"/>
        </w:rPr>
      </w:pPr>
    </w:p>
    <w:p w14:paraId="5E7C7EDD">
      <w:pPr>
        <w:spacing w:line="600" w:lineRule="exact"/>
        <w:rPr>
          <w:rFonts w:ascii="方正小标宋_GBK" w:hAnsi="方正小标宋_GBK" w:eastAsia="方正小标宋_GBK" w:cs="方正小标宋_GBK"/>
          <w:sz w:val="44"/>
          <w:szCs w:val="44"/>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39A8026C-3171-42B7-A4A2-291FDEB224A4}"/>
  </w:font>
  <w:font w:name="Calibri Light">
    <w:altName w:val="Calibri"/>
    <w:panose1 w:val="020F0302020204030204"/>
    <w:charset w:val="00"/>
    <w:family w:val="swiss"/>
    <w:pitch w:val="default"/>
    <w:sig w:usb0="00000000" w:usb1="00000000" w:usb2="00000009" w:usb3="00000000" w:csb0="200001FF" w:csb1="00000000"/>
  </w:font>
  <w:font w:name="HarmonyOS Sans">
    <w:altName w:val="Segoe Print"/>
    <w:panose1 w:val="000005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6EBA6C02-57DA-4D87-9F97-BE0EC2BC8FD1}"/>
  </w:font>
  <w:font w:name="瀹嬩綋">
    <w:altName w:val="演示踏歌行"/>
    <w:panose1 w:val="00000000000000000000"/>
    <w:charset w:val="00"/>
    <w:family w:val="auto"/>
    <w:pitch w:val="default"/>
    <w:sig w:usb0="00000000" w:usb1="00000000" w:usb2="00000000" w:usb3="00000000" w:csb0="00040001" w:csb1="00000000"/>
    <w:embedRegular r:id="rId3" w:fontKey="{386436E8-966B-4E9C-A103-6E6A99CD8CE7}"/>
  </w:font>
  <w:font w:name="HarmonyOS Sans SC">
    <w:altName w:val="宋体"/>
    <w:panose1 w:val="00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4" w:fontKey="{8C7FE505-53DB-4863-821F-719AC82748CB}"/>
  </w:font>
  <w:font w:name="方正小标宋_GBK">
    <w:panose1 w:val="03000509000000000000"/>
    <w:charset w:val="86"/>
    <w:family w:val="auto"/>
    <w:pitch w:val="default"/>
    <w:sig w:usb0="00000001" w:usb1="080E0000" w:usb2="00000000" w:usb3="00000000" w:csb0="00040000" w:csb1="00000000"/>
    <w:embedRegular r:id="rId5" w:fontKey="{0E1A9869-65C5-425D-97C7-31C328727A08}"/>
  </w:font>
  <w:font w:name="等线 Light">
    <w:altName w:val="宋体"/>
    <w:panose1 w:val="02010600030101010101"/>
    <w:charset w:val="86"/>
    <w:family w:val="auto"/>
    <w:pitch w:val="default"/>
    <w:sig w:usb0="00000000" w:usb1="00000000" w:usb2="00000016" w:usb3="00000000" w:csb0="0004000F" w:csb1="00000000"/>
    <w:embedRegular r:id="rId6" w:fontKey="{DB45E0BF-2445-4276-BE90-072A1780BADB}"/>
  </w:font>
  <w:font w:name="Noto Serif CJK JP">
    <w:altName w:val="宋体"/>
    <w:panose1 w:val="02020400000000000000"/>
    <w:charset w:val="86"/>
    <w:family w:val="auto"/>
    <w:pitch w:val="default"/>
    <w:sig w:usb0="00000000" w:usb1="00000000" w:usb2="00000016" w:usb3="00000000" w:csb0="602E0107" w:csb1="00000000"/>
  </w:font>
  <w:font w:name="MingLiU">
    <w:panose1 w:val="02020509000000000000"/>
    <w:charset w:val="88"/>
    <w:family w:val="modern"/>
    <w:pitch w:val="default"/>
    <w:sig w:usb0="A00002FF" w:usb1="28CFFCFA" w:usb2="00000016" w:usb3="00000000" w:csb0="00100001" w:csb1="00000000"/>
    <w:embedRegular r:id="rId7" w:fontKey="{6568B6A4-1250-41C3-B468-20ABDA473886}"/>
  </w:font>
  <w:font w:name="演示踏歌行">
    <w:panose1 w:val="02000600000000000000"/>
    <w:charset w:val="86"/>
    <w:family w:val="auto"/>
    <w:pitch w:val="default"/>
    <w:sig w:usb0="FFFFFFFF" w:usb1="FFFFFFFF" w:usb2="FFFFFFFF" w:usb3="07FFFFFF"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1F40">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8EB905">
                          <w:pPr>
                            <w:pStyle w:val="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698EB905">
                    <w:pPr>
                      <w:pStyle w:val="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078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94C1478">
                          <w:pPr>
                            <w:pStyle w:val="8"/>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94C1478">
                    <w:pPr>
                      <w:pStyle w:val="8"/>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62058C"/>
    <w:multiLevelType w:val="singleLevel"/>
    <w:tmpl w:val="E362058C"/>
    <w:lvl w:ilvl="0" w:tentative="0">
      <w:start w:val="1"/>
      <w:numFmt w:val="decimal"/>
      <w:suff w:val="nothing"/>
      <w:lvlText w:val="%1、"/>
      <w:lvlJc w:val="left"/>
    </w:lvl>
  </w:abstractNum>
  <w:abstractNum w:abstractNumId="1">
    <w:nsid w:val="00304DA4"/>
    <w:multiLevelType w:val="multilevel"/>
    <w:tmpl w:val="00304DA4"/>
    <w:lvl w:ilvl="0" w:tentative="0">
      <w:start w:val="1"/>
      <w:numFmt w:val="decimal"/>
      <w:lvlText w:val="%1"/>
      <w:lvlJc w:val="left"/>
      <w:pPr>
        <w:tabs>
          <w:tab w:val="left" w:pos="567"/>
        </w:tabs>
        <w:ind w:left="567" w:hanging="567"/>
      </w:pPr>
      <w:rPr>
        <w:rFonts w:hint="eastAsia"/>
      </w:rPr>
    </w:lvl>
    <w:lvl w:ilvl="1" w:tentative="0">
      <w:start w:val="1"/>
      <w:numFmt w:val="decimal"/>
      <w:lvlText w:val="%1.%2"/>
      <w:lvlJc w:val="left"/>
      <w:pPr>
        <w:tabs>
          <w:tab w:val="left" w:pos="1956"/>
        </w:tabs>
        <w:ind w:left="1956" w:hanging="680"/>
      </w:pPr>
      <w:rPr>
        <w:rFonts w:hint="eastAsia"/>
      </w:rPr>
    </w:lvl>
    <w:lvl w:ilvl="2" w:tentative="0">
      <w:start w:val="1"/>
      <w:numFmt w:val="decimal"/>
      <w:pStyle w:val="4"/>
      <w:lvlText w:val="%1.%2.%3"/>
      <w:lvlJc w:val="left"/>
      <w:pPr>
        <w:tabs>
          <w:tab w:val="left" w:pos="1260"/>
        </w:tabs>
        <w:ind w:left="-33" w:firstLine="573"/>
      </w:pPr>
      <w:rPr>
        <w:rFonts w:ascii="Times New Roman" w:hAnsi="Times New Roman" w:cs="Times New Roman"/>
        <w:b w:val="0"/>
        <w:bCs w:val="0"/>
        <w:i w:val="0"/>
        <w:iCs w:val="0"/>
        <w:caps w:val="0"/>
        <w:smallCaps w:val="0"/>
        <w:strike w:val="0"/>
        <w:dstrike w:val="0"/>
        <w:vanish w:val="0"/>
        <w:spacing w:val="0"/>
        <w:position w:val="0"/>
        <w:u w:val="none"/>
        <w:vertAlign w:val="baseline"/>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59089F16"/>
    <w:multiLevelType w:val="singleLevel"/>
    <w:tmpl w:val="59089F16"/>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YTBmNGYxMDZlMTIzYzk0Y2E4Y2M4ZTdiZGUxYjcifQ=="/>
  </w:docVars>
  <w:rsids>
    <w:rsidRoot w:val="68A742ED"/>
    <w:rsid w:val="0003707B"/>
    <w:rsid w:val="000615C6"/>
    <w:rsid w:val="00064284"/>
    <w:rsid w:val="00084EBD"/>
    <w:rsid w:val="00104531"/>
    <w:rsid w:val="001067B6"/>
    <w:rsid w:val="0015326E"/>
    <w:rsid w:val="001A0558"/>
    <w:rsid w:val="001A4C94"/>
    <w:rsid w:val="001B4A6B"/>
    <w:rsid w:val="001C3998"/>
    <w:rsid w:val="001D51CE"/>
    <w:rsid w:val="00230389"/>
    <w:rsid w:val="00234026"/>
    <w:rsid w:val="002506CC"/>
    <w:rsid w:val="0026290D"/>
    <w:rsid w:val="00293083"/>
    <w:rsid w:val="002B5B80"/>
    <w:rsid w:val="002C0004"/>
    <w:rsid w:val="002C1426"/>
    <w:rsid w:val="002D6B3D"/>
    <w:rsid w:val="002F72D0"/>
    <w:rsid w:val="00302204"/>
    <w:rsid w:val="00302DFA"/>
    <w:rsid w:val="00312AE8"/>
    <w:rsid w:val="003256B8"/>
    <w:rsid w:val="0033371E"/>
    <w:rsid w:val="00363CFF"/>
    <w:rsid w:val="003B5A90"/>
    <w:rsid w:val="003D2257"/>
    <w:rsid w:val="003D7A99"/>
    <w:rsid w:val="0041085C"/>
    <w:rsid w:val="00494257"/>
    <w:rsid w:val="004A2776"/>
    <w:rsid w:val="00517090"/>
    <w:rsid w:val="00555484"/>
    <w:rsid w:val="00580CE1"/>
    <w:rsid w:val="005904DB"/>
    <w:rsid w:val="005A5653"/>
    <w:rsid w:val="005D26F2"/>
    <w:rsid w:val="0061659B"/>
    <w:rsid w:val="00642532"/>
    <w:rsid w:val="00644A7B"/>
    <w:rsid w:val="0065398B"/>
    <w:rsid w:val="006B5FDD"/>
    <w:rsid w:val="006D3130"/>
    <w:rsid w:val="00711B6E"/>
    <w:rsid w:val="00717606"/>
    <w:rsid w:val="00721B7D"/>
    <w:rsid w:val="00751510"/>
    <w:rsid w:val="007674FF"/>
    <w:rsid w:val="00862EE4"/>
    <w:rsid w:val="008634E6"/>
    <w:rsid w:val="00876320"/>
    <w:rsid w:val="0088518A"/>
    <w:rsid w:val="00886AD1"/>
    <w:rsid w:val="00891A11"/>
    <w:rsid w:val="008D5166"/>
    <w:rsid w:val="008E173F"/>
    <w:rsid w:val="008F21C6"/>
    <w:rsid w:val="00907B3A"/>
    <w:rsid w:val="009279F9"/>
    <w:rsid w:val="00933359"/>
    <w:rsid w:val="00984387"/>
    <w:rsid w:val="009A6C7A"/>
    <w:rsid w:val="00A15701"/>
    <w:rsid w:val="00A43E24"/>
    <w:rsid w:val="00A9743B"/>
    <w:rsid w:val="00AB31DA"/>
    <w:rsid w:val="00C15696"/>
    <w:rsid w:val="00C81E08"/>
    <w:rsid w:val="00CA62D2"/>
    <w:rsid w:val="00DB3B0E"/>
    <w:rsid w:val="00E003A9"/>
    <w:rsid w:val="00E550E4"/>
    <w:rsid w:val="00E568FE"/>
    <w:rsid w:val="00E6293E"/>
    <w:rsid w:val="00E7207B"/>
    <w:rsid w:val="00E97837"/>
    <w:rsid w:val="00F11DFF"/>
    <w:rsid w:val="00F32CCF"/>
    <w:rsid w:val="00F6015C"/>
    <w:rsid w:val="00F675B4"/>
    <w:rsid w:val="010351AA"/>
    <w:rsid w:val="020236B3"/>
    <w:rsid w:val="02501F5F"/>
    <w:rsid w:val="02F27732"/>
    <w:rsid w:val="03287A05"/>
    <w:rsid w:val="038C36E0"/>
    <w:rsid w:val="03DD59CA"/>
    <w:rsid w:val="044F726B"/>
    <w:rsid w:val="04912ACD"/>
    <w:rsid w:val="04D03646"/>
    <w:rsid w:val="05AF0F65"/>
    <w:rsid w:val="05BF2AA5"/>
    <w:rsid w:val="05D07BB4"/>
    <w:rsid w:val="05F952FF"/>
    <w:rsid w:val="060A5E1C"/>
    <w:rsid w:val="0665615E"/>
    <w:rsid w:val="06782AA7"/>
    <w:rsid w:val="07110764"/>
    <w:rsid w:val="07375BAD"/>
    <w:rsid w:val="07F95559"/>
    <w:rsid w:val="09875BCB"/>
    <w:rsid w:val="09CC5391"/>
    <w:rsid w:val="09DD7029"/>
    <w:rsid w:val="0A281360"/>
    <w:rsid w:val="0A892BC4"/>
    <w:rsid w:val="0A8C67EC"/>
    <w:rsid w:val="0AC04A3C"/>
    <w:rsid w:val="0B5360BD"/>
    <w:rsid w:val="0B9B577E"/>
    <w:rsid w:val="0C152235"/>
    <w:rsid w:val="0CC4006B"/>
    <w:rsid w:val="0D0122B8"/>
    <w:rsid w:val="0D166265"/>
    <w:rsid w:val="0D1F49F2"/>
    <w:rsid w:val="0D305579"/>
    <w:rsid w:val="0D6467C2"/>
    <w:rsid w:val="0DD358E2"/>
    <w:rsid w:val="0E254470"/>
    <w:rsid w:val="0E812E3C"/>
    <w:rsid w:val="0EF80318"/>
    <w:rsid w:val="0F68324F"/>
    <w:rsid w:val="0FE211EF"/>
    <w:rsid w:val="117143B2"/>
    <w:rsid w:val="12B972A7"/>
    <w:rsid w:val="135E2154"/>
    <w:rsid w:val="13634C66"/>
    <w:rsid w:val="13C30D13"/>
    <w:rsid w:val="13C65187"/>
    <w:rsid w:val="13D80718"/>
    <w:rsid w:val="13EF728A"/>
    <w:rsid w:val="13F77976"/>
    <w:rsid w:val="141F23D7"/>
    <w:rsid w:val="1421015B"/>
    <w:rsid w:val="14583ECE"/>
    <w:rsid w:val="15D60D6C"/>
    <w:rsid w:val="165C73DE"/>
    <w:rsid w:val="16BA4648"/>
    <w:rsid w:val="16C77D52"/>
    <w:rsid w:val="172D4BCE"/>
    <w:rsid w:val="184425A3"/>
    <w:rsid w:val="186928F2"/>
    <w:rsid w:val="193F49AE"/>
    <w:rsid w:val="1A5C400C"/>
    <w:rsid w:val="1A922FF5"/>
    <w:rsid w:val="1B0C5787"/>
    <w:rsid w:val="1B282302"/>
    <w:rsid w:val="1B6B3730"/>
    <w:rsid w:val="1BB7319C"/>
    <w:rsid w:val="1BF260EF"/>
    <w:rsid w:val="1CF5767F"/>
    <w:rsid w:val="1D200111"/>
    <w:rsid w:val="1D4B6290"/>
    <w:rsid w:val="1D5F099D"/>
    <w:rsid w:val="1DE101C9"/>
    <w:rsid w:val="1DED6B6E"/>
    <w:rsid w:val="1EFD7CAF"/>
    <w:rsid w:val="1F160197"/>
    <w:rsid w:val="1F271888"/>
    <w:rsid w:val="208A4B48"/>
    <w:rsid w:val="20C447B2"/>
    <w:rsid w:val="219519F6"/>
    <w:rsid w:val="21BD635B"/>
    <w:rsid w:val="221A41EC"/>
    <w:rsid w:val="22895C12"/>
    <w:rsid w:val="23900771"/>
    <w:rsid w:val="23CF07F7"/>
    <w:rsid w:val="23E0603D"/>
    <w:rsid w:val="23FE012A"/>
    <w:rsid w:val="242B106E"/>
    <w:rsid w:val="24536911"/>
    <w:rsid w:val="24FF149C"/>
    <w:rsid w:val="250550E5"/>
    <w:rsid w:val="250D077C"/>
    <w:rsid w:val="25A31138"/>
    <w:rsid w:val="25F82421"/>
    <w:rsid w:val="261D6FC9"/>
    <w:rsid w:val="266C2A1D"/>
    <w:rsid w:val="26C93993"/>
    <w:rsid w:val="26F0393C"/>
    <w:rsid w:val="2786566E"/>
    <w:rsid w:val="28EC13C8"/>
    <w:rsid w:val="299D7862"/>
    <w:rsid w:val="29A04919"/>
    <w:rsid w:val="2A111A8E"/>
    <w:rsid w:val="2B8B4989"/>
    <w:rsid w:val="2C737893"/>
    <w:rsid w:val="2C7768C8"/>
    <w:rsid w:val="2CDA0954"/>
    <w:rsid w:val="2E146CE4"/>
    <w:rsid w:val="2E5E3A03"/>
    <w:rsid w:val="2E7A444E"/>
    <w:rsid w:val="2F9E216B"/>
    <w:rsid w:val="30A6152A"/>
    <w:rsid w:val="30E339BF"/>
    <w:rsid w:val="31123DDF"/>
    <w:rsid w:val="31FC0F6B"/>
    <w:rsid w:val="322F416D"/>
    <w:rsid w:val="32443888"/>
    <w:rsid w:val="33527747"/>
    <w:rsid w:val="33DD249D"/>
    <w:rsid w:val="34C54C16"/>
    <w:rsid w:val="357F059C"/>
    <w:rsid w:val="378A3CA1"/>
    <w:rsid w:val="37C65C94"/>
    <w:rsid w:val="39202F72"/>
    <w:rsid w:val="399272E0"/>
    <w:rsid w:val="39E44101"/>
    <w:rsid w:val="3A17366D"/>
    <w:rsid w:val="3A1A6AE5"/>
    <w:rsid w:val="3A992100"/>
    <w:rsid w:val="3AB63C54"/>
    <w:rsid w:val="3ADB40A8"/>
    <w:rsid w:val="3AE342BF"/>
    <w:rsid w:val="3B6D0B14"/>
    <w:rsid w:val="3B8F5C93"/>
    <w:rsid w:val="3BB11559"/>
    <w:rsid w:val="3BB15CD8"/>
    <w:rsid w:val="3C0E4427"/>
    <w:rsid w:val="3C3200F7"/>
    <w:rsid w:val="3C3F781F"/>
    <w:rsid w:val="3C7852AB"/>
    <w:rsid w:val="3C96489D"/>
    <w:rsid w:val="3D2077F2"/>
    <w:rsid w:val="3D4075C2"/>
    <w:rsid w:val="3E2D78C5"/>
    <w:rsid w:val="3E9B4698"/>
    <w:rsid w:val="3EB07A18"/>
    <w:rsid w:val="3EDB718F"/>
    <w:rsid w:val="3F0329B7"/>
    <w:rsid w:val="3F767786"/>
    <w:rsid w:val="3FD339BE"/>
    <w:rsid w:val="40B74C12"/>
    <w:rsid w:val="40CF3720"/>
    <w:rsid w:val="41C95047"/>
    <w:rsid w:val="42764AD5"/>
    <w:rsid w:val="42853DB6"/>
    <w:rsid w:val="42E34ECB"/>
    <w:rsid w:val="4314120B"/>
    <w:rsid w:val="437C555D"/>
    <w:rsid w:val="439231BA"/>
    <w:rsid w:val="43D47D05"/>
    <w:rsid w:val="43E52802"/>
    <w:rsid w:val="44077CFF"/>
    <w:rsid w:val="443770F1"/>
    <w:rsid w:val="449F2519"/>
    <w:rsid w:val="45047207"/>
    <w:rsid w:val="45062140"/>
    <w:rsid w:val="451568D9"/>
    <w:rsid w:val="45A544FF"/>
    <w:rsid w:val="45F47BB0"/>
    <w:rsid w:val="460D33F5"/>
    <w:rsid w:val="46D63D94"/>
    <w:rsid w:val="46F7281D"/>
    <w:rsid w:val="473A0C45"/>
    <w:rsid w:val="47AD2D46"/>
    <w:rsid w:val="4816241A"/>
    <w:rsid w:val="48BC699F"/>
    <w:rsid w:val="48C42928"/>
    <w:rsid w:val="490F1F22"/>
    <w:rsid w:val="49AD66E2"/>
    <w:rsid w:val="4A3774BC"/>
    <w:rsid w:val="4A8F4638"/>
    <w:rsid w:val="4ABD14F2"/>
    <w:rsid w:val="4B366095"/>
    <w:rsid w:val="4B736325"/>
    <w:rsid w:val="4B754BD1"/>
    <w:rsid w:val="4B8A6F82"/>
    <w:rsid w:val="4BD424DD"/>
    <w:rsid w:val="4C311EAE"/>
    <w:rsid w:val="4C7D5FFD"/>
    <w:rsid w:val="4CF431C6"/>
    <w:rsid w:val="4D680D9C"/>
    <w:rsid w:val="4D987FF5"/>
    <w:rsid w:val="4DE3729B"/>
    <w:rsid w:val="4E527AA9"/>
    <w:rsid w:val="4E543ADC"/>
    <w:rsid w:val="4EE91049"/>
    <w:rsid w:val="4F6C798B"/>
    <w:rsid w:val="4FC26B2F"/>
    <w:rsid w:val="500D0FC6"/>
    <w:rsid w:val="505D2565"/>
    <w:rsid w:val="50CB1434"/>
    <w:rsid w:val="51884169"/>
    <w:rsid w:val="518B3EE0"/>
    <w:rsid w:val="519A2F38"/>
    <w:rsid w:val="519C19B8"/>
    <w:rsid w:val="521F2DEA"/>
    <w:rsid w:val="523F4EE3"/>
    <w:rsid w:val="524B6284"/>
    <w:rsid w:val="52C36DF2"/>
    <w:rsid w:val="52E30036"/>
    <w:rsid w:val="554C1DF1"/>
    <w:rsid w:val="55A03EEB"/>
    <w:rsid w:val="55BC0A37"/>
    <w:rsid w:val="55D1777E"/>
    <w:rsid w:val="5627107A"/>
    <w:rsid w:val="56293EE0"/>
    <w:rsid w:val="566C22F1"/>
    <w:rsid w:val="56B168E8"/>
    <w:rsid w:val="56DD05C3"/>
    <w:rsid w:val="56E602DF"/>
    <w:rsid w:val="57080FDC"/>
    <w:rsid w:val="57206E9F"/>
    <w:rsid w:val="575235E3"/>
    <w:rsid w:val="57A03417"/>
    <w:rsid w:val="58B150BD"/>
    <w:rsid w:val="591453B6"/>
    <w:rsid w:val="596E58C2"/>
    <w:rsid w:val="598E19C2"/>
    <w:rsid w:val="59E9009D"/>
    <w:rsid w:val="5A105AE3"/>
    <w:rsid w:val="5A7822AE"/>
    <w:rsid w:val="5B487FA2"/>
    <w:rsid w:val="5B975130"/>
    <w:rsid w:val="5B9F2500"/>
    <w:rsid w:val="5BFE6852"/>
    <w:rsid w:val="5CC0409F"/>
    <w:rsid w:val="5DEE2193"/>
    <w:rsid w:val="5DF95E03"/>
    <w:rsid w:val="5E0A45F7"/>
    <w:rsid w:val="5EAF3CBE"/>
    <w:rsid w:val="5F0E02C2"/>
    <w:rsid w:val="5F4A288F"/>
    <w:rsid w:val="5F761CA9"/>
    <w:rsid w:val="5FE4292A"/>
    <w:rsid w:val="600F5B5A"/>
    <w:rsid w:val="60530026"/>
    <w:rsid w:val="60B63178"/>
    <w:rsid w:val="60F61415"/>
    <w:rsid w:val="6135668D"/>
    <w:rsid w:val="615A3487"/>
    <w:rsid w:val="61646714"/>
    <w:rsid w:val="61C77D88"/>
    <w:rsid w:val="61D727BB"/>
    <w:rsid w:val="62481B92"/>
    <w:rsid w:val="62F71F9F"/>
    <w:rsid w:val="62FD190F"/>
    <w:rsid w:val="630E5E3C"/>
    <w:rsid w:val="64EE4C72"/>
    <w:rsid w:val="64F80F1C"/>
    <w:rsid w:val="65493C57"/>
    <w:rsid w:val="65670581"/>
    <w:rsid w:val="658729E9"/>
    <w:rsid w:val="658C69B3"/>
    <w:rsid w:val="66442B66"/>
    <w:rsid w:val="665E1CDF"/>
    <w:rsid w:val="666F61BC"/>
    <w:rsid w:val="66B160AF"/>
    <w:rsid w:val="66BC11B0"/>
    <w:rsid w:val="66C26551"/>
    <w:rsid w:val="677D6BB4"/>
    <w:rsid w:val="67B61A25"/>
    <w:rsid w:val="67F21BCA"/>
    <w:rsid w:val="6831015F"/>
    <w:rsid w:val="68A742ED"/>
    <w:rsid w:val="69307536"/>
    <w:rsid w:val="699F653B"/>
    <w:rsid w:val="69AB6013"/>
    <w:rsid w:val="6A5D1F52"/>
    <w:rsid w:val="6AA325C6"/>
    <w:rsid w:val="6ABD5915"/>
    <w:rsid w:val="6AD14C5D"/>
    <w:rsid w:val="6AD16ECB"/>
    <w:rsid w:val="6B6D4938"/>
    <w:rsid w:val="6BEA3CBA"/>
    <w:rsid w:val="6C9875EB"/>
    <w:rsid w:val="6CE857BB"/>
    <w:rsid w:val="6D487FBF"/>
    <w:rsid w:val="6ECE1671"/>
    <w:rsid w:val="6F7F2EDB"/>
    <w:rsid w:val="6FA77336"/>
    <w:rsid w:val="6FE37B42"/>
    <w:rsid w:val="6FF43359"/>
    <w:rsid w:val="71270EF9"/>
    <w:rsid w:val="714F5A00"/>
    <w:rsid w:val="72051137"/>
    <w:rsid w:val="72267A92"/>
    <w:rsid w:val="729048C2"/>
    <w:rsid w:val="73154367"/>
    <w:rsid w:val="73354FBC"/>
    <w:rsid w:val="737E6395"/>
    <w:rsid w:val="73BB5A93"/>
    <w:rsid w:val="73BC5F3C"/>
    <w:rsid w:val="73F531FC"/>
    <w:rsid w:val="74CA4688"/>
    <w:rsid w:val="74F848D0"/>
    <w:rsid w:val="753A5262"/>
    <w:rsid w:val="753C37D8"/>
    <w:rsid w:val="75C02056"/>
    <w:rsid w:val="76481D09"/>
    <w:rsid w:val="76A333E3"/>
    <w:rsid w:val="76FD2AF3"/>
    <w:rsid w:val="772A242E"/>
    <w:rsid w:val="773A2E3A"/>
    <w:rsid w:val="77AB7500"/>
    <w:rsid w:val="78183A77"/>
    <w:rsid w:val="797D3DA6"/>
    <w:rsid w:val="798E097C"/>
    <w:rsid w:val="7A523181"/>
    <w:rsid w:val="7AA15E8B"/>
    <w:rsid w:val="7AE1630E"/>
    <w:rsid w:val="7B2A672C"/>
    <w:rsid w:val="7B9A7CF7"/>
    <w:rsid w:val="7BDD1B24"/>
    <w:rsid w:val="7BFE1CB4"/>
    <w:rsid w:val="7C712E7B"/>
    <w:rsid w:val="7CA83A23"/>
    <w:rsid w:val="7CE94BB0"/>
    <w:rsid w:val="7D2863F0"/>
    <w:rsid w:val="7D4C4563"/>
    <w:rsid w:val="7DD354D7"/>
    <w:rsid w:val="7DF20320"/>
    <w:rsid w:val="7DF311DF"/>
    <w:rsid w:val="7E37267B"/>
    <w:rsid w:val="DFEBE2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qFormat/>
    <w:uiPriority w:val="0"/>
    <w:pPr>
      <w:keepNext/>
      <w:keepLines/>
      <w:numPr>
        <w:ilvl w:val="2"/>
        <w:numId w:val="1"/>
      </w:numPr>
      <w:spacing w:line="360" w:lineRule="auto"/>
      <w:outlineLvl w:val="2"/>
    </w:pPr>
    <w:rPr>
      <w:rFonts w:eastAsia="仿宋_GB2312"/>
      <w:bCs/>
      <w:sz w:val="28"/>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6">
    <w:name w:val="annotation text"/>
    <w:basedOn w:val="1"/>
    <w:link w:val="20"/>
    <w:qFormat/>
    <w:uiPriority w:val="99"/>
    <w:pPr>
      <w:jc w:val="left"/>
    </w:pPr>
  </w:style>
  <w:style w:type="paragraph" w:styleId="7">
    <w:name w:val="Body Text"/>
    <w:basedOn w:val="1"/>
    <w:next w:val="1"/>
    <w:qFormat/>
    <w:uiPriority w:val="0"/>
    <w:rPr>
      <w:sz w:val="26"/>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2"/>
    <w:next w:val="1"/>
    <w:unhideWhenUsed/>
    <w:qFormat/>
    <w:uiPriority w:val="39"/>
    <w:pPr>
      <w:tabs>
        <w:tab w:val="right" w:leader="dot" w:pos="8302"/>
      </w:tabs>
      <w:jc w:val="center"/>
    </w:pPr>
    <w:rPr>
      <w:szCs w:val="20"/>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link w:val="21"/>
    <w:qFormat/>
    <w:uiPriority w:val="10"/>
    <w:pPr>
      <w:spacing w:before="240" w:after="60"/>
      <w:outlineLvl w:val="0"/>
    </w:pPr>
    <w:rPr>
      <w:rFonts w:ascii="Arial" w:hAnsi="Arial" w:cs="Arial"/>
      <w:b/>
      <w:bCs/>
      <w:sz w:val="32"/>
      <w:szCs w:val="32"/>
    </w:rPr>
  </w:style>
  <w:style w:type="paragraph" w:styleId="13">
    <w:name w:val="annotation subject"/>
    <w:basedOn w:val="6"/>
    <w:next w:val="6"/>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批注文字 Char"/>
    <w:basedOn w:val="16"/>
    <w:link w:val="6"/>
    <w:qFormat/>
    <w:uiPriority w:val="99"/>
    <w:rPr>
      <w:kern w:val="2"/>
      <w:sz w:val="21"/>
      <w:szCs w:val="24"/>
    </w:rPr>
  </w:style>
  <w:style w:type="character" w:customStyle="1" w:styleId="21">
    <w:name w:val="标题 Char"/>
    <w:basedOn w:val="16"/>
    <w:link w:val="12"/>
    <w:qFormat/>
    <w:uiPriority w:val="0"/>
    <w:rPr>
      <w:rFonts w:ascii="Calibri Light" w:hAnsi="Calibri Light" w:eastAsia="宋体" w:cs="Times New Roman"/>
      <w:b/>
      <w:bCs/>
      <w:kern w:val="2"/>
      <w:sz w:val="32"/>
      <w:szCs w:val="32"/>
    </w:rPr>
  </w:style>
  <w:style w:type="character" w:customStyle="1" w:styleId="22">
    <w:name w:val="批注主题 Char"/>
    <w:basedOn w:val="20"/>
    <w:link w:val="13"/>
    <w:qFormat/>
    <w:uiPriority w:val="0"/>
    <w:rPr>
      <w:b/>
      <w:bCs/>
      <w:kern w:val="2"/>
      <w:sz w:val="21"/>
      <w:szCs w:val="24"/>
    </w:rPr>
  </w:style>
  <w:style w:type="paragraph" w:customStyle="1" w:styleId="23">
    <w:name w:val="List Paragraph1"/>
    <w:basedOn w:val="1"/>
    <w:qFormat/>
    <w:uiPriority w:val="0"/>
    <w:pPr>
      <w:ind w:firstLine="420" w:firstLineChars="200"/>
    </w:pPr>
  </w:style>
  <w:style w:type="paragraph" w:customStyle="1" w:styleId="24">
    <w:name w:val="列出段落1"/>
    <w:basedOn w:val="1"/>
    <w:qFormat/>
    <w:uiPriority w:val="0"/>
    <w:rPr>
      <w:szCs w:val="20"/>
    </w:rPr>
  </w:style>
  <w:style w:type="paragraph" w:customStyle="1" w:styleId="25">
    <w:name w:val="default"/>
    <w:basedOn w:val="1"/>
    <w:qFormat/>
    <w:uiPriority w:val="0"/>
    <w:pPr>
      <w:widowControl/>
      <w:spacing w:line="360" w:lineRule="auto"/>
      <w:jc w:val="left"/>
    </w:pPr>
    <w:rPr>
      <w:rFonts w:ascii="Arial" w:hAnsi="Arial" w:cs="Arial"/>
      <w:kern w:val="0"/>
      <w:sz w:val="20"/>
    </w:rPr>
  </w:style>
  <w:style w:type="paragraph" w:customStyle="1" w:styleId="26">
    <w:name w:val="Default"/>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paragraph" w:customStyle="1" w:styleId="27">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28">
    <w:name w:val="List Paragraph"/>
    <w:basedOn w:val="1"/>
    <w:qFormat/>
    <w:uiPriority w:val="34"/>
    <w:pPr>
      <w:ind w:firstLine="420" w:firstLineChars="200"/>
    </w:pPr>
  </w:style>
  <w:style w:type="character" w:customStyle="1" w:styleId="29">
    <w:name w:val="font161"/>
    <w:basedOn w:val="16"/>
    <w:qFormat/>
    <w:uiPriority w:val="0"/>
    <w:rPr>
      <w:rFonts w:hint="eastAsia" w:ascii="方正黑体_GBK" w:hAnsi="方正黑体_GBK" w:eastAsia="方正黑体_GBK" w:cs="方正黑体_GBK"/>
      <w:color w:val="000000"/>
      <w:sz w:val="28"/>
      <w:szCs w:val="28"/>
      <w:u w:val="none"/>
    </w:rPr>
  </w:style>
  <w:style w:type="paragraph" w:customStyle="1" w:styleId="30">
    <w:name w:val="修订1"/>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4134</Words>
  <Characters>4366</Characters>
  <Lines>100</Lines>
  <Paragraphs>28</Paragraphs>
  <TotalTime>25</TotalTime>
  <ScaleCrop>false</ScaleCrop>
  <LinksUpToDate>false</LinksUpToDate>
  <CharactersWithSpaces>4421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2023-10-15T23:22:00Z</dcterms:created>
  <dc:creator>喻诗淇</dc:creator>
  <cp:lastModifiedBy>常八九</cp:lastModifiedBy>
  <cp:lastPrinted>2026-04-30T12:27:00Z</cp:lastPrinted>
  <dcterms:modified xsi:type="dcterms:W3CDTF">2026-05-06T02:10:20Z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9272F030D1C64C84B156E781595C8493_13</vt:lpwstr>
  </property>
  <property fmtid="{D5CDD505-2E9C-101B-9397-08002B2CF9AE}" pid="4" name="KSOTemplateDocerSaveRecord">
    <vt:lpwstr>eyJoZGlkIjoiMTdkMmJhNGEyYzAwODc0MzYwZDA2MTViYjk0ZDIxNDIiLCJ1c2VySWQiOiIzNDc2MjcxNDYifQ==</vt:lpwstr>
  </property>
</Properties>
</file>